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63" w:rsidRDefault="00D03363" w:rsidP="00D03363">
      <w:pPr>
        <w:pBdr>
          <w:bottom w:val="double" w:sz="6" w:space="1" w:color="auto"/>
        </w:pBdr>
        <w:ind w:left="-720" w:right="5490"/>
        <w:rPr>
          <w:b/>
        </w:rPr>
      </w:pPr>
      <w:r>
        <w:rPr>
          <w:b/>
          <w:noProof/>
        </w:rPr>
        <w:drawing>
          <wp:anchor distT="0" distB="0" distL="114300" distR="114300" simplePos="0" relativeHeight="251659264" behindDoc="0" locked="0" layoutInCell="1" allowOverlap="1">
            <wp:simplePos x="0" y="0"/>
            <wp:positionH relativeFrom="column">
              <wp:posOffset>2842895</wp:posOffset>
            </wp:positionH>
            <wp:positionV relativeFrom="paragraph">
              <wp:posOffset>-63259</wp:posOffset>
            </wp:positionV>
            <wp:extent cx="1623695" cy="1247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3695" cy="1247775"/>
                    </a:xfrm>
                    <a:prstGeom prst="rect">
                      <a:avLst/>
                    </a:prstGeom>
                    <a:noFill/>
                    <a:ln w="9525">
                      <a:noFill/>
                      <a:miter lim="800000"/>
                      <a:headEnd/>
                      <a:tailEnd/>
                    </a:ln>
                  </pic:spPr>
                </pic:pic>
              </a:graphicData>
            </a:graphic>
          </wp:anchor>
        </w:drawing>
      </w:r>
      <w:r w:rsidRPr="00D03363">
        <w:rPr>
          <w:b/>
          <w:noProof/>
        </w:rPr>
        <w:drawing>
          <wp:anchor distT="0" distB="0" distL="114300" distR="114300" simplePos="0" relativeHeight="251660288" behindDoc="0" locked="0" layoutInCell="1" allowOverlap="1">
            <wp:simplePos x="0" y="0"/>
            <wp:positionH relativeFrom="column">
              <wp:posOffset>4933950</wp:posOffset>
            </wp:positionH>
            <wp:positionV relativeFrom="paragraph">
              <wp:posOffset>-66675</wp:posOffset>
            </wp:positionV>
            <wp:extent cx="1534795" cy="1552575"/>
            <wp:effectExtent l="19050" t="0" r="8255" b="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34795" cy="1552575"/>
                    </a:xfrm>
                    <a:prstGeom prst="rect">
                      <a:avLst/>
                    </a:prstGeom>
                    <a:noFill/>
                    <a:ln w="9525">
                      <a:noFill/>
                      <a:miter lim="800000"/>
                      <a:headEnd/>
                      <a:tailEnd/>
                    </a:ln>
                  </pic:spPr>
                </pic:pic>
              </a:graphicData>
            </a:graphic>
          </wp:anchor>
        </w:drawing>
      </w:r>
    </w:p>
    <w:p w:rsidR="00D03363" w:rsidRPr="00D03363" w:rsidRDefault="00D03363" w:rsidP="00D03363">
      <w:pPr>
        <w:ind w:left="-720" w:right="5490"/>
        <w:rPr>
          <w:b/>
          <w:sz w:val="36"/>
          <w:u w:val="single"/>
        </w:rPr>
      </w:pPr>
      <w:r w:rsidRPr="00D03363">
        <w:rPr>
          <w:b/>
          <w:sz w:val="36"/>
        </w:rPr>
        <w:t>The Prometheans</w:t>
      </w:r>
    </w:p>
    <w:p w:rsidR="00D03363" w:rsidRPr="00D03363" w:rsidRDefault="00D03363" w:rsidP="00D03363">
      <w:pPr>
        <w:pBdr>
          <w:bottom w:val="single" w:sz="6" w:space="1" w:color="auto"/>
        </w:pBdr>
        <w:ind w:left="-720" w:right="5490"/>
        <w:rPr>
          <w:b/>
          <w:sz w:val="18"/>
        </w:rPr>
      </w:pPr>
      <w:r w:rsidRPr="00D03363">
        <w:rPr>
          <w:b/>
          <w:sz w:val="18"/>
        </w:rPr>
        <w:t>SHOT’s Engineering Special Interest Group</w:t>
      </w:r>
    </w:p>
    <w:p w:rsidR="00D03363" w:rsidRDefault="00D03363" w:rsidP="00D03363">
      <w:pPr>
        <w:pBdr>
          <w:bottom w:val="single" w:sz="4" w:space="1" w:color="auto"/>
        </w:pBdr>
        <w:ind w:left="-720" w:right="5490"/>
        <w:rPr>
          <w:b/>
          <w:sz w:val="36"/>
        </w:rPr>
      </w:pPr>
      <w:r w:rsidRPr="00D03363">
        <w:rPr>
          <w:b/>
          <w:sz w:val="36"/>
        </w:rPr>
        <w:t>SHOT Asia Network</w:t>
      </w:r>
    </w:p>
    <w:p w:rsidR="00D03363" w:rsidRDefault="0039386C" w:rsidP="00D03363">
      <w:pPr>
        <w:ind w:left="-720" w:right="5490"/>
        <w:rPr>
          <w:b/>
          <w:sz w:val="36"/>
        </w:rPr>
      </w:pPr>
      <w:r w:rsidRPr="0039386C">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98.55pt;margin-top:19.65pt;width:187.2pt;height:20.65pt;z-index:251662336;mso-width-percent:400;mso-height-percent:200;mso-width-percent:400;mso-height-percent:200;mso-width-relative:margin;mso-height-relative:margin" stroked="f">
            <v:textbox style="mso-fit-shape-to-text:t">
              <w:txbxContent>
                <w:p w:rsidR="00D03363" w:rsidRPr="00D03363" w:rsidRDefault="00D03363">
                  <w:pPr>
                    <w:rPr>
                      <w:b/>
                    </w:rPr>
                  </w:pPr>
                  <w:r w:rsidRPr="00D03363">
                    <w:rPr>
                      <w:b/>
                    </w:rPr>
                    <w:t>Society for the History of Technology</w:t>
                  </w:r>
                </w:p>
              </w:txbxContent>
            </v:textbox>
          </v:shape>
        </w:pict>
      </w:r>
      <w:r w:rsidR="00D03363">
        <w:rPr>
          <w:b/>
          <w:sz w:val="36"/>
        </w:rPr>
        <w:t>Teach 3.11</w:t>
      </w:r>
    </w:p>
    <w:p w:rsidR="00D03363" w:rsidRPr="00D03363" w:rsidRDefault="00D03363" w:rsidP="00D40EC7">
      <w:pPr>
        <w:pBdr>
          <w:bottom w:val="double" w:sz="4" w:space="1" w:color="auto"/>
        </w:pBdr>
        <w:ind w:left="-720" w:right="5490"/>
        <w:rPr>
          <w:b/>
          <w:sz w:val="36"/>
        </w:rPr>
      </w:pPr>
      <w:r>
        <w:rPr>
          <w:b/>
          <w:sz w:val="18"/>
        </w:rPr>
        <w:t>A Project of the Forum for the History of Science in Asia</w:t>
      </w:r>
    </w:p>
    <w:p w:rsidR="00D03363" w:rsidRDefault="00D03363" w:rsidP="00D03363">
      <w:pPr>
        <w:rPr>
          <w:b/>
        </w:rPr>
      </w:pPr>
    </w:p>
    <w:p w:rsidR="00F46855" w:rsidRDefault="0039386C">
      <w:r>
        <w:rPr>
          <w:noProof/>
        </w:rPr>
        <w:pict>
          <v:rect id="_x0000_s1030" style="position:absolute;margin-left:-29.25pt;margin-top:.75pt;width:526.5pt;height:7.5pt;z-index:251663360" fillcolor="#4e6128 [1606]">
            <v:shadow on="t" offset=",3pt" offset2=",2pt"/>
          </v:rect>
        </w:pict>
      </w:r>
    </w:p>
    <w:p w:rsidR="00D03363" w:rsidRDefault="00D03363"/>
    <w:p w:rsidR="00D03363" w:rsidRDefault="00D03363"/>
    <w:p w:rsidR="006C5DE8" w:rsidRDefault="006C5DE8"/>
    <w:p w:rsidR="00D03363" w:rsidRPr="00DB04D7" w:rsidRDefault="00D03363" w:rsidP="00D03363">
      <w:pPr>
        <w:jc w:val="center"/>
        <w:rPr>
          <w:b/>
        </w:rPr>
      </w:pPr>
      <w:r w:rsidRPr="00DB04D7">
        <w:rPr>
          <w:b/>
        </w:rPr>
        <w:t>CALL FOR PAPERS</w:t>
      </w:r>
    </w:p>
    <w:p w:rsidR="00D03363" w:rsidRPr="0095365D" w:rsidRDefault="00CF1BAF" w:rsidP="00D03363">
      <w:pPr>
        <w:jc w:val="center"/>
        <w:rPr>
          <w:sz w:val="28"/>
          <w:u w:val="single"/>
        </w:rPr>
      </w:pPr>
      <w:r>
        <w:rPr>
          <w:b/>
          <w:sz w:val="32"/>
          <w:u w:val="single"/>
        </w:rPr>
        <w:t>Historical and Contemporary Studies of Disasters</w:t>
      </w:r>
      <w:r w:rsidR="00D03363">
        <w:rPr>
          <w:b/>
          <w:sz w:val="32"/>
          <w:u w:val="single"/>
        </w:rPr>
        <w:br/>
      </w:r>
      <w:r>
        <w:rPr>
          <w:sz w:val="28"/>
          <w:u w:val="single"/>
        </w:rPr>
        <w:t xml:space="preserve">Placing Chernobyl, </w:t>
      </w:r>
      <w:r w:rsidR="006E33D1">
        <w:rPr>
          <w:sz w:val="28"/>
          <w:u w:val="single"/>
        </w:rPr>
        <w:t xml:space="preserve">9/11, </w:t>
      </w:r>
      <w:r>
        <w:rPr>
          <w:sz w:val="28"/>
          <w:u w:val="single"/>
        </w:rPr>
        <w:t>Katrina, Deepwater Horizon, Fukushima</w:t>
      </w:r>
      <w:r>
        <w:rPr>
          <w:sz w:val="28"/>
          <w:u w:val="single"/>
        </w:rPr>
        <w:br/>
        <w:t xml:space="preserve">and Other Events in </w:t>
      </w:r>
      <w:r w:rsidR="006E33D1">
        <w:rPr>
          <w:sz w:val="28"/>
          <w:u w:val="single"/>
        </w:rPr>
        <w:t xml:space="preserve">Historical and </w:t>
      </w:r>
      <w:r w:rsidR="00A6420B">
        <w:rPr>
          <w:sz w:val="28"/>
          <w:u w:val="single"/>
        </w:rPr>
        <w:t>Comparative</w:t>
      </w:r>
      <w:r>
        <w:rPr>
          <w:sz w:val="28"/>
          <w:u w:val="single"/>
        </w:rPr>
        <w:t xml:space="preserve"> Perspective</w:t>
      </w:r>
    </w:p>
    <w:p w:rsidR="00D03363" w:rsidRPr="00DB04D7" w:rsidRDefault="00D03363" w:rsidP="00D03363">
      <w:pPr>
        <w:jc w:val="center"/>
        <w:rPr>
          <w:b/>
        </w:rPr>
      </w:pPr>
    </w:p>
    <w:p w:rsidR="00D03363" w:rsidRDefault="00D03363" w:rsidP="00D03363">
      <w:pPr>
        <w:jc w:val="center"/>
        <w:rPr>
          <w:b/>
        </w:rPr>
      </w:pPr>
      <w:r>
        <w:rPr>
          <w:b/>
        </w:rPr>
        <w:t>Co-Sponsored by the</w:t>
      </w:r>
    </w:p>
    <w:p w:rsidR="00D03363" w:rsidRDefault="00D03363" w:rsidP="00D03363">
      <w:pPr>
        <w:jc w:val="center"/>
        <w:rPr>
          <w:b/>
        </w:rPr>
      </w:pPr>
      <w:r>
        <w:rPr>
          <w:b/>
          <w:sz w:val="24"/>
        </w:rPr>
        <w:t xml:space="preserve">SHOT Prometheans (Engineering) SIG / SHOT Asia Network / </w:t>
      </w:r>
      <w:r w:rsidRPr="00D40EC7">
        <w:rPr>
          <w:b/>
          <w:sz w:val="24"/>
        </w:rPr>
        <w:t>Teach 3.11</w:t>
      </w:r>
    </w:p>
    <w:p w:rsidR="00D03363" w:rsidRDefault="00D03363" w:rsidP="00D03363">
      <w:pPr>
        <w:jc w:val="center"/>
        <w:rPr>
          <w:b/>
        </w:rPr>
      </w:pPr>
      <w:proofErr w:type="gramStart"/>
      <w:r>
        <w:rPr>
          <w:b/>
        </w:rPr>
        <w:t>and</w:t>
      </w:r>
      <w:proofErr w:type="gramEnd"/>
      <w:r>
        <w:rPr>
          <w:b/>
        </w:rPr>
        <w:t xml:space="preserve"> held during the </w:t>
      </w:r>
    </w:p>
    <w:p w:rsidR="00D03363" w:rsidRDefault="00D03363" w:rsidP="00D03363">
      <w:pPr>
        <w:jc w:val="center"/>
        <w:rPr>
          <w:b/>
        </w:rPr>
      </w:pPr>
      <w:r>
        <w:rPr>
          <w:b/>
        </w:rPr>
        <w:t>Society for the History of Technology (SHOT) Annual Meeting</w:t>
      </w:r>
    </w:p>
    <w:p w:rsidR="00D03363" w:rsidRDefault="00D03363" w:rsidP="00D03363">
      <w:pPr>
        <w:jc w:val="center"/>
        <w:rPr>
          <w:b/>
        </w:rPr>
      </w:pPr>
      <w:r>
        <w:rPr>
          <w:b/>
        </w:rPr>
        <w:t>Sunday, 7 October 2012</w:t>
      </w:r>
    </w:p>
    <w:p w:rsidR="00D03363" w:rsidRPr="00DB04D7" w:rsidRDefault="00D03363" w:rsidP="00D03363">
      <w:pPr>
        <w:jc w:val="center"/>
        <w:rPr>
          <w:b/>
        </w:rPr>
      </w:pPr>
      <w:r>
        <w:rPr>
          <w:b/>
        </w:rPr>
        <w:t>Copenhagen, Denmark</w:t>
      </w:r>
    </w:p>
    <w:p w:rsidR="00D03363" w:rsidRDefault="00D03363" w:rsidP="00D03363">
      <w:pPr>
        <w:rPr>
          <w:b/>
        </w:rPr>
      </w:pPr>
    </w:p>
    <w:p w:rsidR="00040306" w:rsidRDefault="00CF1BAF" w:rsidP="00D03363">
      <w:pPr>
        <w:spacing w:before="100" w:beforeAutospacing="1" w:after="100" w:afterAutospacing="1"/>
      </w:pPr>
      <w:r>
        <w:rPr>
          <w:rFonts w:cstheme="minorHAnsi"/>
        </w:rPr>
        <w:t xml:space="preserve">For this year’s Prometheans / SHOT Asia Network SIG workshop (with co-sponsorship from </w:t>
      </w:r>
      <w:hyperlink r:id="rId8" w:history="1">
        <w:r w:rsidRPr="00D40EC7">
          <w:rPr>
            <w:rStyle w:val="Hyperlink"/>
          </w:rPr>
          <w:t>Teach 3.11</w:t>
        </w:r>
      </w:hyperlink>
      <w:r>
        <w:t xml:space="preserve">, a project of the Forum for the History of Science in Asia), we would like to focus on historical and contemporary studies of </w:t>
      </w:r>
      <w:r w:rsidR="00040306">
        <w:t xml:space="preserve">both natural and anthropogenic </w:t>
      </w:r>
      <w:r>
        <w:t xml:space="preserve">disasters. Inspired by discussions about Fukushima and the greater East Japan </w:t>
      </w:r>
      <w:r w:rsidR="00A6420B">
        <w:t>E</w:t>
      </w:r>
      <w:r>
        <w:t>arthquake (</w:t>
      </w:r>
      <w:r w:rsidR="00A6420B">
        <w:rPr>
          <w:i/>
        </w:rPr>
        <w:t>Tohoku-</w:t>
      </w:r>
      <w:proofErr w:type="spellStart"/>
      <w:r w:rsidR="00A6420B">
        <w:rPr>
          <w:i/>
        </w:rPr>
        <w:t>chiho</w:t>
      </w:r>
      <w:proofErr w:type="spellEnd"/>
      <w:r w:rsidR="00A6420B">
        <w:rPr>
          <w:i/>
        </w:rPr>
        <w:t xml:space="preserve"> Taiheiyo Oki </w:t>
      </w:r>
      <w:proofErr w:type="spellStart"/>
      <w:r w:rsidR="00A6420B">
        <w:rPr>
          <w:i/>
        </w:rPr>
        <w:t>Shishin</w:t>
      </w:r>
      <w:proofErr w:type="spellEnd"/>
      <w:r w:rsidR="003A310F">
        <w:t xml:space="preserve">) </w:t>
      </w:r>
      <w:r>
        <w:t xml:space="preserve">and tsunami </w:t>
      </w:r>
      <w:r w:rsidR="00040306">
        <w:t xml:space="preserve">during </w:t>
      </w:r>
      <w:r>
        <w:t>the SHOT/4S/HSS co-located meeting in Cleveland</w:t>
      </w:r>
      <w:r w:rsidR="00040306" w:rsidRPr="00040306">
        <w:t xml:space="preserve"> </w:t>
      </w:r>
      <w:r w:rsidR="00040306">
        <w:t>last year</w:t>
      </w:r>
      <w:r>
        <w:t>, a</w:t>
      </w:r>
      <w:r w:rsidR="00040306">
        <w:t>n interdisciplinary</w:t>
      </w:r>
      <w:r>
        <w:t xml:space="preserve"> </w:t>
      </w:r>
      <w:r w:rsidR="006E33D1">
        <w:t xml:space="preserve">and international </w:t>
      </w:r>
      <w:r>
        <w:t xml:space="preserve">group of scholars from these three societies decided to create an open forum for academic </w:t>
      </w:r>
      <w:r w:rsidR="00040306">
        <w:t xml:space="preserve">discussions about disasters and </w:t>
      </w:r>
      <w:r>
        <w:t xml:space="preserve">the opportunity to place them in historical and comparative perspective. This year’s SIG session </w:t>
      </w:r>
      <w:r w:rsidR="00040306">
        <w:t xml:space="preserve">will be one </w:t>
      </w:r>
      <w:r w:rsidR="00A6420B">
        <w:t xml:space="preserve">gathering </w:t>
      </w:r>
      <w:r>
        <w:t xml:space="preserve">of this forum, with a focus on </w:t>
      </w:r>
      <w:r w:rsidR="00040306">
        <w:t xml:space="preserve">analyzing the </w:t>
      </w:r>
      <w:proofErr w:type="spellStart"/>
      <w:r w:rsidR="00040306">
        <w:t>sociotechnical</w:t>
      </w:r>
      <w:proofErr w:type="spellEnd"/>
      <w:r w:rsidR="00040306">
        <w:t xml:space="preserve"> </w:t>
      </w:r>
      <w:r>
        <w:t xml:space="preserve">dimensions </w:t>
      </w:r>
      <w:r w:rsidR="00040306">
        <w:t xml:space="preserve">of disasters from </w:t>
      </w:r>
      <w:r w:rsidR="00A6420B">
        <w:t xml:space="preserve">historical and other disciplinary </w:t>
      </w:r>
      <w:r w:rsidR="00040306">
        <w:t>perspectives.</w:t>
      </w:r>
    </w:p>
    <w:p w:rsidR="00040306" w:rsidRDefault="00040306" w:rsidP="00D03363">
      <w:r>
        <w:t xml:space="preserve">This workshop will take place </w:t>
      </w:r>
      <w:r w:rsidR="00D03363">
        <w:t xml:space="preserve">during the Sunday </w:t>
      </w:r>
      <w:r w:rsidR="00D40EC7">
        <w:t xml:space="preserve">morning* </w:t>
      </w:r>
      <w:r w:rsidR="00D03363">
        <w:t>special-interest-group (SIG) time slot at the SHOT annual meeting in Copenhagen. (</w:t>
      </w:r>
      <w:r w:rsidR="00D40EC7">
        <w:t>*</w:t>
      </w:r>
      <w:r w:rsidR="00D03363">
        <w:t xml:space="preserve">This event may be 1/2 day or full day depending on the level of interest.) </w:t>
      </w:r>
      <w:r>
        <w:t>O</w:t>
      </w:r>
      <w:r w:rsidR="00D03363">
        <w:t xml:space="preserve">ffered in an interactive workshop format, </w:t>
      </w:r>
      <w:r w:rsidR="00A6420B">
        <w:t xml:space="preserve">the </w:t>
      </w:r>
      <w:r>
        <w:t xml:space="preserve">event </w:t>
      </w:r>
      <w:r w:rsidR="00D03363">
        <w:t xml:space="preserve">will be directed primarily towards historical </w:t>
      </w:r>
      <w:r>
        <w:t xml:space="preserve">and contemporary </w:t>
      </w:r>
      <w:r w:rsidR="00D03363">
        <w:t xml:space="preserve">studies </w:t>
      </w:r>
      <w:r>
        <w:t xml:space="preserve">of disasters of </w:t>
      </w:r>
      <w:r w:rsidR="00A6420B">
        <w:t xml:space="preserve">different </w:t>
      </w:r>
      <w:r>
        <w:t>scale</w:t>
      </w:r>
      <w:r w:rsidR="00A6420B">
        <w:t>s</w:t>
      </w:r>
      <w:r>
        <w:t xml:space="preserve">. A portion of the program may </w:t>
      </w:r>
      <w:r w:rsidR="006E33D1">
        <w:t xml:space="preserve">also </w:t>
      </w:r>
      <w:r>
        <w:t xml:space="preserve">be dedicated to interpreting the events surrounding </w:t>
      </w:r>
      <w:r w:rsidR="00A6420B">
        <w:t xml:space="preserve">the </w:t>
      </w:r>
      <w:r w:rsidR="00D03363">
        <w:t xml:space="preserve">Fukushima </w:t>
      </w:r>
      <w:r w:rsidR="00A6420B">
        <w:t xml:space="preserve">nuclear disaster </w:t>
      </w:r>
      <w:r w:rsidR="00D03363">
        <w:t xml:space="preserve">and the </w:t>
      </w:r>
      <w:r w:rsidR="00A6420B">
        <w:t xml:space="preserve">East Japan Earthquake </w:t>
      </w:r>
      <w:r>
        <w:t>through comparison with other disasters. While we anticipate that historians may comprise a significant portion of the membership because the event will take place at SHOT, scholars of all academic disciplines are invited to contribute and to attend.</w:t>
      </w:r>
    </w:p>
    <w:p w:rsidR="00ED08A9" w:rsidRDefault="00ED08A9" w:rsidP="00D03363"/>
    <w:p w:rsidR="00ED08A9" w:rsidRDefault="00ED08A9" w:rsidP="00D03363">
      <w:r>
        <w:t>Among the kinds of papers that we are interested in seeing are the following:</w:t>
      </w:r>
    </w:p>
    <w:p w:rsidR="00ED08A9" w:rsidRDefault="00ED08A9" w:rsidP="00D03363"/>
    <w:p w:rsidR="00ED08A9" w:rsidRDefault="006E33D1" w:rsidP="00ED08A9">
      <w:pPr>
        <w:pStyle w:val="ListParagraph"/>
        <w:numPr>
          <w:ilvl w:val="0"/>
          <w:numId w:val="2"/>
        </w:numPr>
      </w:pPr>
      <w:r>
        <w:t>Historical or contemporary studies of any disaster</w:t>
      </w:r>
      <w:r w:rsidR="00ED08A9">
        <w:t xml:space="preserve"> of natural or anthropogenic origin. Especially papers that focus on the </w:t>
      </w:r>
      <w:r>
        <w:t>organizational,</w:t>
      </w:r>
      <w:r w:rsidR="00ED08A9">
        <w:t xml:space="preserve"> </w:t>
      </w:r>
      <w:r>
        <w:t>technological, and/</w:t>
      </w:r>
      <w:r w:rsidR="00ED08A9">
        <w:t xml:space="preserve">or </w:t>
      </w:r>
      <w:proofErr w:type="spellStart"/>
      <w:r w:rsidR="00ED08A9">
        <w:t>sociotechnical</w:t>
      </w:r>
      <w:proofErr w:type="spellEnd"/>
      <w:r w:rsidR="00ED08A9">
        <w:t xml:space="preserve"> dimensions of the disaster</w:t>
      </w:r>
      <w:r>
        <w:t xml:space="preserve">, and how this contributed to or exacerbated a particular disaster or the responses </w:t>
      </w:r>
      <w:r w:rsidR="00A6420B">
        <w:t xml:space="preserve">that followed </w:t>
      </w:r>
      <w:r>
        <w:t>the disaster.</w:t>
      </w:r>
    </w:p>
    <w:p w:rsidR="006E33D1" w:rsidRDefault="006E33D1" w:rsidP="00ED08A9">
      <w:pPr>
        <w:pStyle w:val="ListParagraph"/>
        <w:numPr>
          <w:ilvl w:val="0"/>
          <w:numId w:val="2"/>
        </w:numPr>
      </w:pPr>
      <w:r>
        <w:t xml:space="preserve">An examination of the cultural, political, or economic dimensions of a particular industry, such as nuclear energy, oil extraction, or </w:t>
      </w:r>
      <w:r w:rsidR="00A6420B">
        <w:t>civil engineering and</w:t>
      </w:r>
      <w:r>
        <w:t xml:space="preserve"> construction, </w:t>
      </w:r>
      <w:r w:rsidR="00A6420B">
        <w:t>and their contributions to the disaster.</w:t>
      </w:r>
      <w:r>
        <w:t xml:space="preserve"> </w:t>
      </w:r>
    </w:p>
    <w:p w:rsidR="006E33D1" w:rsidRDefault="006E33D1" w:rsidP="00ED08A9">
      <w:pPr>
        <w:pStyle w:val="ListParagraph"/>
        <w:numPr>
          <w:ilvl w:val="0"/>
          <w:numId w:val="2"/>
        </w:numPr>
      </w:pPr>
      <w:r>
        <w:t>Historical and contemporary studies of environmental movements and environmental organizations and their relationship to disasters and disaster response.</w:t>
      </w:r>
    </w:p>
    <w:p w:rsidR="006E33D1" w:rsidRDefault="006E33D1" w:rsidP="00ED08A9">
      <w:pPr>
        <w:pStyle w:val="ListParagraph"/>
        <w:numPr>
          <w:ilvl w:val="0"/>
          <w:numId w:val="2"/>
        </w:numPr>
      </w:pPr>
      <w:r>
        <w:t>Any comparative study of disasters, and specific dimensions of disasters.</w:t>
      </w:r>
    </w:p>
    <w:p w:rsidR="00D03363" w:rsidRDefault="00D03363" w:rsidP="00D03363"/>
    <w:p w:rsidR="00D03363" w:rsidRDefault="00D03363" w:rsidP="00D03363">
      <w:r>
        <w:t>The workshop format will consist of pre-circulated papers (1000-1800 words in length) and prepared responses</w:t>
      </w:r>
      <w:r w:rsidR="00040306">
        <w:t xml:space="preserve">; </w:t>
      </w:r>
      <w:r>
        <w:t>open discussions around predetermined themes</w:t>
      </w:r>
      <w:r w:rsidR="00040306">
        <w:t xml:space="preserve"> during the workshop; </w:t>
      </w:r>
      <w:r>
        <w:t xml:space="preserve">and written responses and reflections submitted </w:t>
      </w:r>
      <w:r w:rsidR="00040306">
        <w:t xml:space="preserve">following </w:t>
      </w:r>
      <w:r>
        <w:t>the workshop. Members of the Prometheans, SHOT Asia Network, and Teach 3.11 will serve as the program committee for this event, and will work organize the papers received into coherent sessions. Works-in-progress, and submissions by graduate students as well as senior scholars, from any nation, are actively encouraged.</w:t>
      </w:r>
    </w:p>
    <w:p w:rsidR="00D03363" w:rsidRDefault="00D03363" w:rsidP="00D03363"/>
    <w:p w:rsidR="00D03363" w:rsidRPr="00147E7D" w:rsidRDefault="006C5DE8" w:rsidP="00D03363">
      <w:pPr>
        <w:rPr>
          <w:b/>
        </w:rPr>
      </w:pPr>
      <w:r>
        <w:t xml:space="preserve">We ask those who are interested </w:t>
      </w:r>
      <w:r w:rsidR="00D03363">
        <w:t xml:space="preserve">to </w:t>
      </w:r>
      <w:r>
        <w:t xml:space="preserve">signal </w:t>
      </w:r>
      <w:r w:rsidR="00D03363">
        <w:t xml:space="preserve">your interest </w:t>
      </w:r>
      <w:r>
        <w:t xml:space="preserve">by sending us an email, with </w:t>
      </w:r>
      <w:r w:rsidR="00D03363">
        <w:t xml:space="preserve">proposed title, </w:t>
      </w:r>
      <w:r w:rsidR="006E33D1">
        <w:t xml:space="preserve">at your earliest convenience so we are able to make an early decision about the scope of the workshop. </w:t>
      </w:r>
      <w:r w:rsidR="008C7EAB">
        <w:t>T</w:t>
      </w:r>
      <w:r w:rsidR="00D03363">
        <w:t xml:space="preserve">he applications process will be open until </w:t>
      </w:r>
      <w:r w:rsidR="00D03363" w:rsidRPr="006C5DE8">
        <w:rPr>
          <w:b/>
        </w:rPr>
        <w:t>June 1</w:t>
      </w:r>
      <w:r w:rsidR="00D03363" w:rsidRPr="006C5DE8">
        <w:rPr>
          <w:b/>
          <w:vertAlign w:val="superscript"/>
        </w:rPr>
        <w:t>st</w:t>
      </w:r>
      <w:r w:rsidR="00D03363" w:rsidRPr="006C5DE8">
        <w:rPr>
          <w:b/>
        </w:rPr>
        <w:t>,</w:t>
      </w:r>
      <w:r w:rsidR="00D03363">
        <w:t xml:space="preserve"> by which point we will need a firm commitment </w:t>
      </w:r>
      <w:r w:rsidR="008C7EAB">
        <w:t xml:space="preserve">to attend </w:t>
      </w:r>
      <w:r w:rsidR="00D03363">
        <w:t xml:space="preserve">and a 300-word abstract from all participants. Pre-circulated papers will be due </w:t>
      </w:r>
      <w:r w:rsidR="008C7EAB">
        <w:t xml:space="preserve">on </w:t>
      </w:r>
      <w:r w:rsidR="00D03363" w:rsidRPr="008C7EAB">
        <w:rPr>
          <w:b/>
        </w:rPr>
        <w:t>September 1</w:t>
      </w:r>
      <w:r w:rsidR="00D03363" w:rsidRPr="008C7EAB">
        <w:rPr>
          <w:b/>
          <w:vertAlign w:val="superscript"/>
        </w:rPr>
        <w:t>st</w:t>
      </w:r>
      <w:r w:rsidR="00D03363" w:rsidRPr="008C7EAB">
        <w:rPr>
          <w:b/>
        </w:rPr>
        <w:t>.</w:t>
      </w:r>
      <w:r w:rsidR="00D03363">
        <w:t xml:space="preserve"> Those </w:t>
      </w:r>
      <w:r w:rsidR="008C7EAB">
        <w:t>presenting material during the main SHOT conference are still welcome to participate in the workshop with the same (or different) material, and are encouraged to do so (please indicate, for planning purposes, that this will be the case).</w:t>
      </w:r>
    </w:p>
    <w:p w:rsidR="00D03363" w:rsidRDefault="00D03363" w:rsidP="00D03363"/>
    <w:p w:rsidR="00D03363" w:rsidRPr="00147E7D" w:rsidRDefault="00D03363" w:rsidP="00D03363">
      <w:r>
        <w:rPr>
          <w:b/>
        </w:rPr>
        <w:t xml:space="preserve">Please send emails signaling your interest with a proposed title </w:t>
      </w:r>
      <w:r w:rsidR="00A6420B">
        <w:rPr>
          <w:b/>
        </w:rPr>
        <w:t>for</w:t>
      </w:r>
      <w:r>
        <w:rPr>
          <w:b/>
        </w:rPr>
        <w:t xml:space="preserve"> your paper to </w:t>
      </w:r>
      <w:r w:rsidR="0089312B">
        <w:rPr>
          <w:b/>
        </w:rPr>
        <w:t xml:space="preserve">the SIG Workshop Program Committee chair, </w:t>
      </w:r>
      <w:r>
        <w:rPr>
          <w:b/>
        </w:rPr>
        <w:t xml:space="preserve">Atsushi Akera at </w:t>
      </w:r>
      <w:hyperlink r:id="rId9" w:history="1">
        <w:r w:rsidRPr="0033415A">
          <w:rPr>
            <w:rStyle w:val="Hyperlink"/>
            <w:b/>
          </w:rPr>
          <w:t>akeraa@rpi.edu</w:t>
        </w:r>
      </w:hyperlink>
      <w:r>
        <w:rPr>
          <w:b/>
        </w:rPr>
        <w:t xml:space="preserve">. </w:t>
      </w:r>
    </w:p>
    <w:p w:rsidR="00D03363" w:rsidRDefault="00D03363"/>
    <w:sectPr w:rsidR="00D03363" w:rsidSect="00F46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2765"/>
    <w:multiLevelType w:val="hybridMultilevel"/>
    <w:tmpl w:val="F878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16920"/>
    <w:multiLevelType w:val="hybridMultilevel"/>
    <w:tmpl w:val="7C6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363"/>
    <w:rsid w:val="00040306"/>
    <w:rsid w:val="001164BA"/>
    <w:rsid w:val="00256942"/>
    <w:rsid w:val="00287569"/>
    <w:rsid w:val="00321BF8"/>
    <w:rsid w:val="0039386C"/>
    <w:rsid w:val="003A00D6"/>
    <w:rsid w:val="003A310F"/>
    <w:rsid w:val="006944D7"/>
    <w:rsid w:val="006C5DE8"/>
    <w:rsid w:val="006E33D1"/>
    <w:rsid w:val="007C3669"/>
    <w:rsid w:val="007E2019"/>
    <w:rsid w:val="008929E3"/>
    <w:rsid w:val="0089312B"/>
    <w:rsid w:val="008C7EAB"/>
    <w:rsid w:val="0090769A"/>
    <w:rsid w:val="00A6420B"/>
    <w:rsid w:val="00B16708"/>
    <w:rsid w:val="00B324FD"/>
    <w:rsid w:val="00BB05A9"/>
    <w:rsid w:val="00CF1BAF"/>
    <w:rsid w:val="00D03363"/>
    <w:rsid w:val="00D40EC7"/>
    <w:rsid w:val="00D44C05"/>
    <w:rsid w:val="00D460B4"/>
    <w:rsid w:val="00E0159B"/>
    <w:rsid w:val="00EC74FC"/>
    <w:rsid w:val="00ED08A9"/>
    <w:rsid w:val="00F46855"/>
    <w:rsid w:val="00F517CB"/>
    <w:rsid w:val="00FA3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0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363"/>
    <w:rPr>
      <w:rFonts w:ascii="Tahoma" w:hAnsi="Tahoma" w:cs="Tahoma"/>
      <w:sz w:val="16"/>
      <w:szCs w:val="16"/>
    </w:rPr>
  </w:style>
  <w:style w:type="character" w:customStyle="1" w:styleId="BalloonTextChar">
    <w:name w:val="Balloon Text Char"/>
    <w:basedOn w:val="DefaultParagraphFont"/>
    <w:link w:val="BalloonText"/>
    <w:uiPriority w:val="99"/>
    <w:semiHidden/>
    <w:rsid w:val="00D03363"/>
    <w:rPr>
      <w:rFonts w:ascii="Tahoma" w:hAnsi="Tahoma" w:cs="Tahoma"/>
      <w:sz w:val="16"/>
      <w:szCs w:val="16"/>
    </w:rPr>
  </w:style>
  <w:style w:type="character" w:styleId="Hyperlink">
    <w:name w:val="Hyperlink"/>
    <w:basedOn w:val="DefaultParagraphFont"/>
    <w:uiPriority w:val="99"/>
    <w:unhideWhenUsed/>
    <w:rsid w:val="00D03363"/>
    <w:rPr>
      <w:color w:val="0000FF"/>
      <w:u w:val="single"/>
    </w:rPr>
  </w:style>
  <w:style w:type="paragraph" w:styleId="ListParagraph">
    <w:name w:val="List Paragraph"/>
    <w:basedOn w:val="Normal"/>
    <w:uiPriority w:val="34"/>
    <w:qFormat/>
    <w:rsid w:val="00D03363"/>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311.wordpres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311.wordpres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keraa@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Akera</dc:creator>
  <cp:lastModifiedBy>Atsushi Akera</cp:lastModifiedBy>
  <cp:revision>5</cp:revision>
  <dcterms:created xsi:type="dcterms:W3CDTF">2012-04-19T18:58:00Z</dcterms:created>
  <dcterms:modified xsi:type="dcterms:W3CDTF">2012-04-19T19:19:00Z</dcterms:modified>
</cp:coreProperties>
</file>