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77E4" w14:textId="77777777"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bookmarkStart w:id="0" w:name="_GoBack"/>
      <w:bookmarkEnd w:id="0"/>
      <w:r w:rsidRPr="00D90EC4">
        <w:rPr>
          <w:rFonts w:ascii="Times New Roman" w:eastAsia="Times New Roman" w:hAnsi="Times New Roman" w:cs="Times New Roman"/>
          <w:sz w:val="24"/>
          <w:szCs w:val="24"/>
          <w:lang w:eastAsia="fr-FR"/>
        </w:rPr>
        <w:t xml:space="preserve">Le Centre de recherche sur les économies, les sociétés, les arts et les techniques (CRESAT, EA 3436), de l’Université de Haute-Alsace (UHA), et le laboratoire de Recherche sur les choix industriels, technologiques et scientifiques (RECITS, EA 3897), de l’Université de technologie de Belfort-Montbéliard (UTBM), organisent chaque année depuis 2007 les Journées d’histoire industrielle qui se déroulent sur les deux sites de Mulhouse et de </w:t>
      </w:r>
      <w:proofErr w:type="spellStart"/>
      <w:r w:rsidRPr="00D90EC4">
        <w:rPr>
          <w:rFonts w:ascii="Times New Roman" w:eastAsia="Times New Roman" w:hAnsi="Times New Roman" w:cs="Times New Roman"/>
          <w:sz w:val="24"/>
          <w:szCs w:val="24"/>
          <w:lang w:eastAsia="fr-FR"/>
        </w:rPr>
        <w:t>Sevenans</w:t>
      </w:r>
      <w:proofErr w:type="spellEnd"/>
      <w:r w:rsidRPr="00D90EC4">
        <w:rPr>
          <w:rFonts w:ascii="Times New Roman" w:eastAsia="Times New Roman" w:hAnsi="Times New Roman" w:cs="Times New Roman"/>
          <w:sz w:val="24"/>
          <w:szCs w:val="24"/>
          <w:lang w:eastAsia="fr-FR"/>
        </w:rPr>
        <w:t xml:space="preserve"> (près de Belfort). </w:t>
      </w:r>
    </w:p>
    <w:p w14:paraId="68C53ACB" w14:textId="775B81B4"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sz w:val="24"/>
          <w:szCs w:val="24"/>
          <w:lang w:eastAsia="fr-FR"/>
        </w:rPr>
        <w:t xml:space="preserve">Veuillez trouver ci-joint un appel à communications pour les </w:t>
      </w:r>
      <w:r w:rsidR="00931453" w:rsidRPr="00B310F1">
        <w:rPr>
          <w:rFonts w:ascii="Times New Roman" w:eastAsia="Times New Roman" w:hAnsi="Times New Roman" w:cs="Times New Roman"/>
          <w:sz w:val="24"/>
          <w:szCs w:val="24"/>
          <w:lang w:eastAsia="fr-FR"/>
        </w:rPr>
        <w:t>6</w:t>
      </w:r>
      <w:r w:rsidRPr="00B310F1">
        <w:rPr>
          <w:rFonts w:ascii="Times New Roman" w:eastAsia="Times New Roman" w:hAnsi="Times New Roman" w:cs="Times New Roman"/>
          <w:sz w:val="24"/>
          <w:szCs w:val="24"/>
          <w:vertAlign w:val="superscript"/>
          <w:lang w:eastAsia="fr-FR"/>
        </w:rPr>
        <w:t>è</w:t>
      </w:r>
      <w:r w:rsidRPr="00D90EC4">
        <w:rPr>
          <w:rFonts w:ascii="Times New Roman" w:eastAsia="Times New Roman" w:hAnsi="Times New Roman" w:cs="Times New Roman"/>
          <w:sz w:val="24"/>
          <w:szCs w:val="24"/>
          <w:vertAlign w:val="superscript"/>
          <w:lang w:eastAsia="fr-FR"/>
        </w:rPr>
        <w:t>mes</w:t>
      </w:r>
      <w:r w:rsidRPr="00D90EC4">
        <w:rPr>
          <w:rFonts w:ascii="Times New Roman" w:eastAsia="Times New Roman" w:hAnsi="Times New Roman" w:cs="Times New Roman"/>
          <w:sz w:val="24"/>
          <w:szCs w:val="24"/>
          <w:lang w:eastAsia="fr-FR"/>
        </w:rPr>
        <w:t xml:space="preserve"> Journées d’histoire industr</w:t>
      </w:r>
      <w:r w:rsidR="00D35453">
        <w:rPr>
          <w:rFonts w:ascii="Times New Roman" w:eastAsia="Times New Roman" w:hAnsi="Times New Roman" w:cs="Times New Roman"/>
          <w:sz w:val="24"/>
          <w:szCs w:val="24"/>
          <w:lang w:eastAsia="fr-FR"/>
        </w:rPr>
        <w:t xml:space="preserve">ielle des </w:t>
      </w:r>
      <w:r w:rsidR="004616FD" w:rsidRPr="004616FD">
        <w:rPr>
          <w:rFonts w:ascii="Times New Roman" w:eastAsia="Times New Roman" w:hAnsi="Times New Roman" w:cs="Times New Roman"/>
          <w:b/>
          <w:sz w:val="24"/>
          <w:szCs w:val="24"/>
          <w:lang w:eastAsia="fr-FR"/>
        </w:rPr>
        <w:t xml:space="preserve">23 et 24 octobre </w:t>
      </w:r>
      <w:r w:rsidR="00D35453" w:rsidRPr="004616FD">
        <w:rPr>
          <w:rFonts w:ascii="Times New Roman" w:eastAsia="Times New Roman" w:hAnsi="Times New Roman" w:cs="Times New Roman"/>
          <w:b/>
          <w:sz w:val="24"/>
          <w:szCs w:val="24"/>
          <w:lang w:eastAsia="fr-FR"/>
        </w:rPr>
        <w:t>2014</w:t>
      </w:r>
      <w:r w:rsidRPr="00D90EC4">
        <w:rPr>
          <w:rFonts w:ascii="Times New Roman" w:eastAsia="Times New Roman" w:hAnsi="Times New Roman" w:cs="Times New Roman"/>
          <w:sz w:val="24"/>
          <w:szCs w:val="24"/>
          <w:lang w:eastAsia="fr-FR"/>
        </w:rPr>
        <w:t xml:space="preserve"> consacrées au thème </w:t>
      </w:r>
      <w:r w:rsidRPr="00931453">
        <w:rPr>
          <w:rFonts w:ascii="Times New Roman" w:eastAsia="Times New Roman" w:hAnsi="Times New Roman" w:cs="Times New Roman"/>
          <w:sz w:val="24"/>
          <w:szCs w:val="24"/>
          <w:lang w:eastAsia="fr-FR"/>
        </w:rPr>
        <w:t>de</w:t>
      </w:r>
      <w:r>
        <w:rPr>
          <w:rFonts w:ascii="Times New Roman" w:eastAsia="Times New Roman" w:hAnsi="Times New Roman" w:cs="Times New Roman"/>
          <w:b/>
          <w:sz w:val="24"/>
          <w:szCs w:val="24"/>
          <w:lang w:eastAsia="fr-FR"/>
        </w:rPr>
        <w:t xml:space="preserve"> la transition </w:t>
      </w:r>
      <w:r w:rsidR="00D35453">
        <w:rPr>
          <w:rFonts w:ascii="Times New Roman" w:eastAsia="Times New Roman" w:hAnsi="Times New Roman" w:cs="Times New Roman"/>
          <w:b/>
          <w:sz w:val="24"/>
          <w:szCs w:val="24"/>
          <w:lang w:eastAsia="fr-FR"/>
        </w:rPr>
        <w:t>énergétique</w:t>
      </w:r>
      <w:r>
        <w:rPr>
          <w:rFonts w:ascii="Times New Roman" w:eastAsia="Times New Roman" w:hAnsi="Times New Roman" w:cs="Times New Roman"/>
          <w:b/>
          <w:sz w:val="24"/>
          <w:szCs w:val="24"/>
          <w:lang w:eastAsia="fr-FR"/>
        </w:rPr>
        <w:t>.</w:t>
      </w:r>
    </w:p>
    <w:p w14:paraId="716D7D32" w14:textId="201E862E"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sz w:val="24"/>
          <w:szCs w:val="24"/>
          <w:lang w:eastAsia="fr-FR"/>
        </w:rPr>
        <w:t>Merci d’envoyer vos propositions et celles de vos doctorants, accompagnées de quelques éléments biographiques si nécessaire, sous forme d’un résumé d’une demi</w:t>
      </w:r>
      <w:r w:rsidR="004616FD">
        <w:rPr>
          <w:rFonts w:ascii="Times New Roman" w:eastAsia="Times New Roman" w:hAnsi="Times New Roman" w:cs="Times New Roman"/>
          <w:sz w:val="24"/>
          <w:szCs w:val="24"/>
          <w:lang w:eastAsia="fr-FR"/>
        </w:rPr>
        <w:t>e</w:t>
      </w:r>
      <w:r w:rsidRPr="00D90EC4">
        <w:rPr>
          <w:rFonts w:ascii="Times New Roman" w:eastAsia="Times New Roman" w:hAnsi="Times New Roman" w:cs="Times New Roman"/>
          <w:sz w:val="24"/>
          <w:szCs w:val="24"/>
          <w:lang w:eastAsia="fr-FR"/>
        </w:rPr>
        <w:t xml:space="preserve"> page d’ici le 15 juin 201</w:t>
      </w:r>
      <w:r w:rsidR="004616FD">
        <w:rPr>
          <w:rFonts w:ascii="Times New Roman" w:eastAsia="Times New Roman" w:hAnsi="Times New Roman" w:cs="Times New Roman"/>
          <w:sz w:val="24"/>
          <w:szCs w:val="24"/>
          <w:lang w:eastAsia="fr-FR"/>
        </w:rPr>
        <w:t>4</w:t>
      </w:r>
      <w:r w:rsidRPr="00D90EC4">
        <w:rPr>
          <w:rFonts w:ascii="Times New Roman" w:eastAsia="Times New Roman" w:hAnsi="Times New Roman" w:cs="Times New Roman"/>
          <w:sz w:val="24"/>
          <w:szCs w:val="24"/>
          <w:lang w:eastAsia="fr-FR"/>
        </w:rPr>
        <w:t xml:space="preserve"> à </w:t>
      </w:r>
      <w:hyperlink r:id="rId9" w:history="1">
        <w:r w:rsidRPr="00D90EC4">
          <w:rPr>
            <w:rFonts w:ascii="Times New Roman" w:eastAsia="Times New Roman" w:hAnsi="Times New Roman" w:cs="Times New Roman"/>
            <w:color w:val="0000FF"/>
            <w:sz w:val="24"/>
            <w:szCs w:val="24"/>
            <w:u w:val="single"/>
            <w:lang w:eastAsia="fr-FR"/>
          </w:rPr>
          <w:t>nicolas.stoskopf@uha.fr</w:t>
        </w:r>
      </w:hyperlink>
      <w:r w:rsidRPr="00D90EC4">
        <w:rPr>
          <w:rFonts w:ascii="Times New Roman" w:eastAsia="Times New Roman" w:hAnsi="Times New Roman" w:cs="Times New Roman"/>
          <w:sz w:val="24"/>
          <w:szCs w:val="24"/>
          <w:lang w:eastAsia="fr-FR"/>
        </w:rPr>
        <w:t xml:space="preserve"> et/ou </w:t>
      </w:r>
      <w:hyperlink r:id="rId10" w:history="1">
        <w:r w:rsidRPr="00D90EC4">
          <w:rPr>
            <w:rFonts w:ascii="Times New Roman" w:eastAsia="Times New Roman" w:hAnsi="Times New Roman" w:cs="Times New Roman"/>
            <w:color w:val="0000FF"/>
            <w:sz w:val="24"/>
            <w:szCs w:val="24"/>
            <w:u w:val="single"/>
            <w:lang w:eastAsia="fr-FR"/>
          </w:rPr>
          <w:t>pierre.lamard@utbm.fr</w:t>
        </w:r>
      </w:hyperlink>
    </w:p>
    <w:p w14:paraId="2355B4C3" w14:textId="6162055F" w:rsidR="00D90EC4" w:rsidRPr="00931453" w:rsidRDefault="00D90EC4" w:rsidP="00931453">
      <w:pPr>
        <w:tabs>
          <w:tab w:val="num" w:pos="426"/>
        </w:tabs>
        <w:spacing w:after="0" w:line="240" w:lineRule="auto"/>
        <w:ind w:firstLine="284"/>
        <w:jc w:val="both"/>
        <w:rPr>
          <w:rFonts w:ascii="Times New Roman" w:eastAsia="Times New Roman" w:hAnsi="Times New Roman" w:cs="Times New Roman"/>
          <w:i/>
          <w:sz w:val="24"/>
          <w:szCs w:val="24"/>
          <w:lang w:eastAsia="fr-FR"/>
        </w:rPr>
      </w:pPr>
      <w:r w:rsidRPr="00D90EC4">
        <w:rPr>
          <w:rFonts w:ascii="Times New Roman" w:eastAsia="Times New Roman" w:hAnsi="Times New Roman" w:cs="Times New Roman"/>
          <w:sz w:val="24"/>
          <w:szCs w:val="24"/>
          <w:lang w:eastAsia="fr-FR"/>
        </w:rPr>
        <w:t xml:space="preserve">Les actes seront publiés dans la collection « Histoire industrielle et société », dirigée par Pierre </w:t>
      </w:r>
      <w:proofErr w:type="spellStart"/>
      <w:r w:rsidRPr="00D90EC4">
        <w:rPr>
          <w:rFonts w:ascii="Times New Roman" w:eastAsia="Times New Roman" w:hAnsi="Times New Roman" w:cs="Times New Roman"/>
          <w:sz w:val="24"/>
          <w:szCs w:val="24"/>
          <w:lang w:eastAsia="fr-FR"/>
        </w:rPr>
        <w:t>Lamard</w:t>
      </w:r>
      <w:proofErr w:type="spellEnd"/>
      <w:r w:rsidRPr="00D90EC4">
        <w:rPr>
          <w:rFonts w:ascii="Times New Roman" w:eastAsia="Times New Roman" w:hAnsi="Times New Roman" w:cs="Times New Roman"/>
          <w:sz w:val="24"/>
          <w:szCs w:val="24"/>
          <w:lang w:eastAsia="fr-FR"/>
        </w:rPr>
        <w:t xml:space="preserve"> et Nicola</w:t>
      </w:r>
      <w:r>
        <w:rPr>
          <w:rFonts w:ascii="Times New Roman" w:eastAsia="Times New Roman" w:hAnsi="Times New Roman" w:cs="Times New Roman"/>
          <w:sz w:val="24"/>
          <w:szCs w:val="24"/>
          <w:lang w:eastAsia="fr-FR"/>
        </w:rPr>
        <w:t xml:space="preserve">s </w:t>
      </w:r>
      <w:proofErr w:type="spellStart"/>
      <w:r>
        <w:rPr>
          <w:rFonts w:ascii="Times New Roman" w:eastAsia="Times New Roman" w:hAnsi="Times New Roman" w:cs="Times New Roman"/>
          <w:sz w:val="24"/>
          <w:szCs w:val="24"/>
          <w:lang w:eastAsia="fr-FR"/>
        </w:rPr>
        <w:t>Stoskopf</w:t>
      </w:r>
      <w:proofErr w:type="spellEnd"/>
      <w:r>
        <w:rPr>
          <w:rFonts w:ascii="Times New Roman" w:eastAsia="Times New Roman" w:hAnsi="Times New Roman" w:cs="Times New Roman"/>
          <w:sz w:val="24"/>
          <w:szCs w:val="24"/>
          <w:lang w:eastAsia="fr-FR"/>
        </w:rPr>
        <w:t xml:space="preserve"> aux </w:t>
      </w:r>
      <w:r w:rsidR="00931453">
        <w:rPr>
          <w:rFonts w:ascii="Times New Roman" w:eastAsia="Times New Roman" w:hAnsi="Times New Roman" w:cs="Times New Roman"/>
          <w:sz w:val="24"/>
          <w:szCs w:val="24"/>
          <w:lang w:eastAsia="fr-FR"/>
        </w:rPr>
        <w:t xml:space="preserve">Éditions Picard. </w:t>
      </w:r>
    </w:p>
    <w:p w14:paraId="2A046752" w14:textId="77777777" w:rsidR="00D90EC4" w:rsidRPr="00D90EC4" w:rsidRDefault="00D90EC4" w:rsidP="00931453">
      <w:pPr>
        <w:widowControl w:val="0"/>
        <w:snapToGrid w:val="0"/>
        <w:spacing w:after="0" w:line="240" w:lineRule="auto"/>
        <w:ind w:left="560" w:firstLine="284"/>
        <w:jc w:val="both"/>
        <w:rPr>
          <w:rFonts w:ascii="Times" w:eastAsia="Times New Roman" w:hAnsi="Times" w:cs="Times New Roman"/>
          <w:b/>
          <w:sz w:val="24"/>
          <w:szCs w:val="24"/>
          <w:lang w:eastAsia="fr-FR"/>
        </w:rPr>
      </w:pPr>
    </w:p>
    <w:p w14:paraId="05FC7D66" w14:textId="77777777" w:rsidR="00D90EC4" w:rsidRDefault="00D90EC4" w:rsidP="00931453">
      <w:pPr>
        <w:widowControl w:val="0"/>
        <w:snapToGrid w:val="0"/>
        <w:spacing w:after="0" w:line="240" w:lineRule="auto"/>
        <w:jc w:val="both"/>
        <w:rPr>
          <w:rFonts w:ascii="Times" w:eastAsia="Times New Roman" w:hAnsi="Times" w:cs="Times New Roman"/>
          <w:b/>
          <w:sz w:val="24"/>
          <w:szCs w:val="24"/>
          <w:lang w:eastAsia="fr-FR"/>
        </w:rPr>
      </w:pPr>
    </w:p>
    <w:p w14:paraId="0874FD29" w14:textId="77777777" w:rsidR="00931453" w:rsidRPr="00D90EC4" w:rsidRDefault="00931453" w:rsidP="00931453">
      <w:pPr>
        <w:widowControl w:val="0"/>
        <w:snapToGrid w:val="0"/>
        <w:spacing w:after="0" w:line="240" w:lineRule="auto"/>
        <w:jc w:val="both"/>
        <w:rPr>
          <w:rFonts w:ascii="Times" w:eastAsia="Times New Roman" w:hAnsi="Times" w:cs="Times New Roman"/>
          <w:b/>
          <w:sz w:val="24"/>
          <w:szCs w:val="24"/>
          <w:lang w:eastAsia="fr-FR"/>
        </w:rPr>
      </w:pPr>
    </w:p>
    <w:p w14:paraId="426365E8"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8"/>
          <w:szCs w:val="28"/>
          <w:lang w:eastAsia="fr-FR"/>
        </w:rPr>
      </w:pPr>
      <w:r w:rsidRPr="00D90EC4">
        <w:rPr>
          <w:rFonts w:ascii="Times" w:eastAsia="Times New Roman" w:hAnsi="Times" w:cs="Times New Roman"/>
          <w:b/>
          <w:sz w:val="28"/>
          <w:szCs w:val="28"/>
          <w:lang w:eastAsia="fr-FR"/>
        </w:rPr>
        <w:t>Les journées d’histoire industrielle</w:t>
      </w:r>
    </w:p>
    <w:p w14:paraId="7A49436E"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8"/>
          <w:szCs w:val="28"/>
          <w:lang w:eastAsia="fr-FR"/>
        </w:rPr>
      </w:pPr>
      <w:r w:rsidRPr="00D90EC4">
        <w:rPr>
          <w:rFonts w:ascii="Times" w:eastAsia="Times New Roman" w:hAnsi="Times" w:cs="Times New Roman"/>
          <w:b/>
          <w:sz w:val="28"/>
          <w:szCs w:val="28"/>
          <w:lang w:eastAsia="fr-FR"/>
        </w:rPr>
        <w:t>(Belfort - Mulhouse)</w:t>
      </w:r>
    </w:p>
    <w:p w14:paraId="0B20B3BD" w14:textId="77777777" w:rsidR="00931453" w:rsidRPr="00D90EC4" w:rsidRDefault="00931453" w:rsidP="00931453">
      <w:pPr>
        <w:widowControl w:val="0"/>
        <w:snapToGrid w:val="0"/>
        <w:spacing w:after="0" w:line="240" w:lineRule="auto"/>
        <w:rPr>
          <w:rFonts w:ascii="Times" w:eastAsia="Times New Roman" w:hAnsi="Times" w:cs="Times New Roman"/>
          <w:b/>
          <w:sz w:val="24"/>
          <w:szCs w:val="24"/>
          <w:lang w:eastAsia="fr-FR"/>
        </w:rPr>
      </w:pPr>
    </w:p>
    <w:p w14:paraId="6906086B"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4"/>
          <w:szCs w:val="24"/>
          <w:lang w:eastAsia="fr-FR"/>
        </w:rPr>
      </w:pPr>
    </w:p>
    <w:p w14:paraId="277DDF51" w14:textId="42BDF391"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b/>
          <w:sz w:val="24"/>
          <w:szCs w:val="24"/>
          <w:lang w:eastAsia="fr-FR"/>
        </w:rPr>
        <w:t>Conseil scientifique</w:t>
      </w:r>
      <w:r w:rsidRPr="00D90EC4">
        <w:rPr>
          <w:rFonts w:ascii="Times New Roman" w:eastAsia="Times New Roman" w:hAnsi="Times New Roman" w:cs="Times New Roman"/>
          <w:sz w:val="24"/>
          <w:szCs w:val="24"/>
          <w:lang w:eastAsia="fr-FR"/>
        </w:rPr>
        <w:t xml:space="preserve"> : Jean-Claude </w:t>
      </w:r>
      <w:proofErr w:type="spellStart"/>
      <w:r w:rsidRPr="00D90EC4">
        <w:rPr>
          <w:rFonts w:ascii="Times New Roman" w:eastAsia="Times New Roman" w:hAnsi="Times New Roman" w:cs="Times New Roman"/>
          <w:sz w:val="24"/>
          <w:szCs w:val="24"/>
          <w:lang w:eastAsia="fr-FR"/>
        </w:rPr>
        <w:t>Daumas</w:t>
      </w:r>
      <w:proofErr w:type="spellEnd"/>
      <w:r w:rsidRPr="00D90EC4">
        <w:rPr>
          <w:rFonts w:ascii="Times New Roman" w:eastAsia="Times New Roman" w:hAnsi="Times New Roman" w:cs="Times New Roman"/>
          <w:sz w:val="24"/>
          <w:szCs w:val="24"/>
          <w:lang w:eastAsia="fr-FR"/>
        </w:rPr>
        <w:t xml:space="preserve"> (Université de Franche-Comté), Michel </w:t>
      </w:r>
      <w:proofErr w:type="spellStart"/>
      <w:r w:rsidRPr="00D90EC4">
        <w:rPr>
          <w:rFonts w:ascii="Times New Roman" w:eastAsia="Times New Roman" w:hAnsi="Times New Roman" w:cs="Times New Roman"/>
          <w:sz w:val="24"/>
          <w:szCs w:val="24"/>
          <w:lang w:eastAsia="fr-FR"/>
        </w:rPr>
        <w:t>Hau</w:t>
      </w:r>
      <w:proofErr w:type="spellEnd"/>
      <w:r w:rsidRPr="00D90EC4">
        <w:rPr>
          <w:rFonts w:ascii="Times New Roman" w:eastAsia="Times New Roman" w:hAnsi="Times New Roman" w:cs="Times New Roman"/>
          <w:sz w:val="24"/>
          <w:szCs w:val="24"/>
          <w:lang w:eastAsia="fr-FR"/>
        </w:rPr>
        <w:t xml:space="preserve"> (</w:t>
      </w:r>
      <w:r w:rsidR="00931453">
        <w:rPr>
          <w:rFonts w:ascii="Times New Roman" w:eastAsia="Times New Roman" w:hAnsi="Times New Roman" w:cs="Times New Roman"/>
          <w:sz w:val="24"/>
          <w:szCs w:val="24"/>
          <w:lang w:eastAsia="fr-FR"/>
        </w:rPr>
        <w:t xml:space="preserve">Université de Strasbourg), </w:t>
      </w:r>
      <w:r w:rsidRPr="00D90EC4">
        <w:rPr>
          <w:rFonts w:ascii="Times New Roman" w:eastAsia="Times New Roman" w:hAnsi="Times New Roman" w:cs="Times New Roman"/>
          <w:sz w:val="24"/>
          <w:szCs w:val="24"/>
          <w:lang w:eastAsia="fr-FR"/>
        </w:rPr>
        <w:t xml:space="preserve">Pierre </w:t>
      </w:r>
      <w:proofErr w:type="spellStart"/>
      <w:r w:rsidRPr="00D90EC4">
        <w:rPr>
          <w:rFonts w:ascii="Times New Roman" w:eastAsia="Times New Roman" w:hAnsi="Times New Roman" w:cs="Times New Roman"/>
          <w:sz w:val="24"/>
          <w:szCs w:val="24"/>
          <w:lang w:eastAsia="fr-FR"/>
        </w:rPr>
        <w:t>Lamard</w:t>
      </w:r>
      <w:proofErr w:type="spellEnd"/>
      <w:r w:rsidRPr="00D90EC4">
        <w:rPr>
          <w:rFonts w:ascii="Times New Roman" w:eastAsia="Times New Roman" w:hAnsi="Times New Roman" w:cs="Times New Roman"/>
          <w:sz w:val="24"/>
          <w:szCs w:val="24"/>
          <w:lang w:eastAsia="fr-FR"/>
        </w:rPr>
        <w:t xml:space="preserve"> (Université de Technologie de Belfort-Montbéliard), Nicolas </w:t>
      </w:r>
      <w:proofErr w:type="spellStart"/>
      <w:r w:rsidRPr="00D90EC4">
        <w:rPr>
          <w:rFonts w:ascii="Times New Roman" w:eastAsia="Times New Roman" w:hAnsi="Times New Roman" w:cs="Times New Roman"/>
          <w:sz w:val="24"/>
          <w:szCs w:val="24"/>
          <w:lang w:eastAsia="fr-FR"/>
        </w:rPr>
        <w:t>Stoskopf</w:t>
      </w:r>
      <w:proofErr w:type="spellEnd"/>
      <w:r w:rsidRPr="00D90EC4">
        <w:rPr>
          <w:rFonts w:ascii="Times New Roman" w:eastAsia="Times New Roman" w:hAnsi="Times New Roman" w:cs="Times New Roman"/>
          <w:sz w:val="24"/>
          <w:szCs w:val="24"/>
          <w:lang w:eastAsia="fr-FR"/>
        </w:rPr>
        <w:t xml:space="preserve"> (Université de Haute-Alsace), Laurent Tissot (Université de Neuchâtel). </w:t>
      </w:r>
    </w:p>
    <w:p w14:paraId="3EEF4AAA" w14:textId="77777777" w:rsidR="00D90EC4" w:rsidRDefault="00D90EC4" w:rsidP="00931453">
      <w:pPr>
        <w:ind w:firstLine="284"/>
        <w:jc w:val="center"/>
        <w:rPr>
          <w:b/>
        </w:rPr>
      </w:pPr>
    </w:p>
    <w:p w14:paraId="35F5629B" w14:textId="009C02BA" w:rsidR="00E0681F" w:rsidRPr="00931453" w:rsidRDefault="00E0681F" w:rsidP="00931453">
      <w:pPr>
        <w:ind w:firstLine="284"/>
        <w:jc w:val="center"/>
        <w:rPr>
          <w:rFonts w:ascii="Times New Roman" w:hAnsi="Times New Roman" w:cs="Times New Roman"/>
          <w:b/>
          <w:sz w:val="28"/>
          <w:szCs w:val="28"/>
        </w:rPr>
      </w:pPr>
      <w:r w:rsidRPr="00931453">
        <w:rPr>
          <w:rFonts w:ascii="Times New Roman" w:hAnsi="Times New Roman" w:cs="Times New Roman"/>
          <w:b/>
          <w:sz w:val="28"/>
          <w:szCs w:val="28"/>
        </w:rPr>
        <w:t>La transition énergétique, un concept historique</w:t>
      </w:r>
      <w:r w:rsidR="00931453">
        <w:rPr>
          <w:rFonts w:ascii="Times New Roman" w:hAnsi="Times New Roman" w:cs="Times New Roman"/>
          <w:b/>
          <w:sz w:val="28"/>
          <w:szCs w:val="28"/>
        </w:rPr>
        <w:t xml:space="preserve"> </w:t>
      </w:r>
      <w:r w:rsidRPr="00931453">
        <w:rPr>
          <w:rFonts w:ascii="Times New Roman" w:hAnsi="Times New Roman" w:cs="Times New Roman"/>
          <w:b/>
          <w:sz w:val="28"/>
          <w:szCs w:val="28"/>
        </w:rPr>
        <w:t>?</w:t>
      </w:r>
    </w:p>
    <w:p w14:paraId="74A2F692" w14:textId="09EBCF8D"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Aujourd’hui face à l’accroissement de la population mondiale, et compte tenu de l’émergence de nouvelles puissances économiques comme du poids des paramètres géopolitiques, la question énergétique s’invite dans de nombreux débats au point d’ériger l’énergie comme un des enjeux majeurs et le défi planétaire du XXI</w:t>
      </w:r>
      <w:r w:rsidRPr="00931453">
        <w:rPr>
          <w:rFonts w:ascii="Times New Roman" w:hAnsi="Times New Roman" w:cs="Times New Roman"/>
          <w:vertAlign w:val="superscript"/>
        </w:rPr>
        <w:t>e</w:t>
      </w:r>
      <w:r w:rsidRPr="00931453">
        <w:rPr>
          <w:rFonts w:ascii="Times New Roman" w:hAnsi="Times New Roman" w:cs="Times New Roman"/>
        </w:rPr>
        <w:t xml:space="preserve"> siècle ! Au-delà des grands accords de principe à l’échelle du globe (Rio, Kyoto…), la transition énergétique s’inscrit au cœur des politiques publiques nationales en particulier environnementales déclinées également à l’échelle des territoires. Toutes ces questions (société </w:t>
      </w:r>
      <w:proofErr w:type="spellStart"/>
      <w:r w:rsidRPr="00931453">
        <w:rPr>
          <w:rFonts w:ascii="Times New Roman" w:hAnsi="Times New Roman" w:cs="Times New Roman"/>
        </w:rPr>
        <w:t>décarbonée</w:t>
      </w:r>
      <w:proofErr w:type="spellEnd"/>
      <w:r w:rsidRPr="00931453">
        <w:rPr>
          <w:rFonts w:ascii="Times New Roman" w:hAnsi="Times New Roman" w:cs="Times New Roman"/>
        </w:rPr>
        <w:t xml:space="preserve">, énergie durable, captage de CO2, …) suscitent au gré des prises de position souvent tranchées, des controverses sociotechniques ou </w:t>
      </w:r>
      <w:proofErr w:type="spellStart"/>
      <w:r w:rsidRPr="00931453">
        <w:rPr>
          <w:rFonts w:ascii="Times New Roman" w:hAnsi="Times New Roman" w:cs="Times New Roman"/>
        </w:rPr>
        <w:t>scientifico</w:t>
      </w:r>
      <w:proofErr w:type="spellEnd"/>
      <w:r w:rsidRPr="00931453">
        <w:rPr>
          <w:rFonts w:ascii="Times New Roman" w:hAnsi="Times New Roman" w:cs="Times New Roman"/>
        </w:rPr>
        <w:t>-politiques d’ampleur, au nom du risque ou du principe de précaution. La moindre mesure mise en œuvre, fait l’objet de très larges échos médiatiques, comme si les interrogations soulevées apparaissaient dans l’instantané d’une contemporanéité agitée. Certes les consommations d’énergie de tous ordres ont été multipliées par douze en un siècle, mais les phases de mutation liée à l’émergence de nouvelles énergies ne sont-elles pas récurrentes depuis le XVIII</w:t>
      </w:r>
      <w:r w:rsidRPr="00931453">
        <w:rPr>
          <w:rFonts w:ascii="Times New Roman" w:hAnsi="Times New Roman" w:cs="Times New Roman"/>
          <w:vertAlign w:val="superscript"/>
        </w:rPr>
        <w:t>e</w:t>
      </w:r>
      <w:r w:rsidRPr="00931453">
        <w:rPr>
          <w:rFonts w:ascii="Times New Roman" w:hAnsi="Times New Roman" w:cs="Times New Roman"/>
        </w:rPr>
        <w:t xml:space="preserve"> siècle, au sein même d’une temporalité marquée par le développement d’une société qualifiée de thermo-industrielle par Alain Gras </w:t>
      </w:r>
      <w:r w:rsidR="004010CC" w:rsidRPr="00931453">
        <w:rPr>
          <w:rFonts w:ascii="Times New Roman" w:hAnsi="Times New Roman" w:cs="Times New Roman"/>
        </w:rPr>
        <w:t>(</w:t>
      </w:r>
      <w:r w:rsidRPr="00931453">
        <w:rPr>
          <w:rFonts w:ascii="Times New Roman" w:hAnsi="Times New Roman" w:cs="Times New Roman"/>
          <w:i/>
        </w:rPr>
        <w:t>Le choix du feu. Aux origines de la crise climatique</w:t>
      </w:r>
      <w:r w:rsidRPr="00931453">
        <w:rPr>
          <w:rFonts w:ascii="Times New Roman" w:hAnsi="Times New Roman" w:cs="Times New Roman"/>
        </w:rPr>
        <w:t>, Fayard, 2007)</w:t>
      </w:r>
    </w:p>
    <w:p w14:paraId="2ADA4550"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En effet, différentes formes d’énergie (charbon, électricité, pétrole, nucléaire) se sont successivement imposées incitant au développement de leur propre technologique, sans pour autant évincer les énergies renouvelables ou celles déjà en place. Mais, elles ont généré des ascendances, engageant les puissances industrielles sur des trajectoires techniques marquées par de fortes inflexions d’usages et de pratiques publiques établies ou expérimentales. Pour autant, certains choix énergétiques </w:t>
      </w:r>
      <w:r w:rsidRPr="00931453">
        <w:rPr>
          <w:rFonts w:ascii="Times New Roman" w:hAnsi="Times New Roman" w:cs="Times New Roman"/>
        </w:rPr>
        <w:lastRenderedPageBreak/>
        <w:t xml:space="preserve">se sont heurtés à des impasses, à des verrous technologiques, à des réticences de tous ordres voire à des défiances qu’elles soient scientifiques ou sociétales. Afin de prévenir de telles conséquences aujourd’hui, les préoccupations des grands programmes de recherche ou des réflexions prospectives s’inscrivent dans des approches interdisciplinaires légitimant l’apport des sciences humaines et sociales (SHS) pour mieux comprendre des métamorphoses de nos sociétés. </w:t>
      </w:r>
    </w:p>
    <w:p w14:paraId="12A1D4B9"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Les sciences historiques ambitionnent d’apporter certaines clefs de lecture sur ces périodes d’émergence, de rupture, de blocage et de développement de nouveaux paramètres énergétiques. Il s’agit de ne pas tout à fait laisser le champ libre à une sociologie ou une anthropologie de l’énergie, que les sciences de l’ingénieur convoquent régulièrement pour débattre de la question de l’acceptabilité sociale ou de celle des nouveaux usages. Ces </w:t>
      </w:r>
      <w:proofErr w:type="spellStart"/>
      <w:r w:rsidRPr="00931453">
        <w:rPr>
          <w:rFonts w:ascii="Times New Roman" w:hAnsi="Times New Roman" w:cs="Times New Roman"/>
        </w:rPr>
        <w:t>VI</w:t>
      </w:r>
      <w:r w:rsidRPr="00931453">
        <w:rPr>
          <w:rFonts w:ascii="Times New Roman" w:hAnsi="Times New Roman" w:cs="Times New Roman"/>
          <w:vertAlign w:val="superscript"/>
        </w:rPr>
        <w:t>èmes</w:t>
      </w:r>
      <w:proofErr w:type="spellEnd"/>
      <w:r w:rsidRPr="00931453">
        <w:rPr>
          <w:rFonts w:ascii="Times New Roman" w:hAnsi="Times New Roman" w:cs="Times New Roman"/>
        </w:rPr>
        <w:t xml:space="preserve"> journées d’histoire industrielle (JHI) ont donc pour ambition aux côtés des autres disciplines de</w:t>
      </w:r>
      <w:r w:rsidRPr="00931453">
        <w:rPr>
          <w:rFonts w:ascii="Times New Roman" w:hAnsi="Times New Roman" w:cs="Times New Roman"/>
          <w:color w:val="FF0000"/>
        </w:rPr>
        <w:t xml:space="preserve"> </w:t>
      </w:r>
      <w:r w:rsidRPr="00931453">
        <w:rPr>
          <w:rFonts w:ascii="Times New Roman" w:hAnsi="Times New Roman" w:cs="Times New Roman"/>
        </w:rPr>
        <w:t>SHS et des Sciences de l’ingénieur de débattre de préoccupations contemporaines et prégnantes. Au-delà des acquis des différents champs disciplinaires et à la lumière d’expériences passées ou en cours, il faut s’interroger à partir de trois approches distinctes :</w:t>
      </w:r>
    </w:p>
    <w:p w14:paraId="4118483C"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Rôle des institutions et des acteurs</w:t>
      </w:r>
    </w:p>
    <w:p w14:paraId="5B980734"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Ces phases de balbutiements ne restent-elles révélatrices, à l’aune de la dialectique public/privé,  des difficultés du changement (lourdeur des héritages, postures attentistes, intérêt des inerties…) ? Quel est le rôle du poids politique dans certaines orientations stratégiques ou dans les modalités du déploiement technique concernant le domaine de l’énergie (ex : la voiture électrique ou toute autre question de mobilité liée aux transports) ? Quels sont les arcanes du processus décisionnel comme des facteurs d’influence ? </w:t>
      </w:r>
      <w:r w:rsidRPr="00931453">
        <w:rPr>
          <w:rFonts w:ascii="Times New Roman" w:hAnsi="Times New Roman" w:cs="Times New Roman"/>
          <w:i/>
        </w:rPr>
        <w:t>A contrario</w:t>
      </w:r>
      <w:r w:rsidRPr="00931453">
        <w:rPr>
          <w:rFonts w:ascii="Times New Roman" w:hAnsi="Times New Roman" w:cs="Times New Roman"/>
        </w:rPr>
        <w:t>, quel est le rôle de l’entreprise et l’identité de ses acteurs décisionnels dans le changement comme dans la résistance à celui-ci ?</w:t>
      </w:r>
    </w:p>
    <w:p w14:paraId="634C61CF"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Réceptivité sociale et imaginaire technique</w:t>
      </w:r>
    </w:p>
    <w:p w14:paraId="0451366B"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Le degré de « réceptivité sociale » n’est-il pas lié aux contraintes imposées (ex : la fiscalité) tout comme à l’imaginaire citoyen ? Les formes de perception, de projection dans un avenir proche sont-elles inféodées à des modes de communication aliénants, jouant sur le registre des peurs pour les uns, des certitudes scientifiques pour les autres ? Les clichés ne</w:t>
      </w:r>
      <w:r w:rsidRPr="00931453">
        <w:rPr>
          <w:rFonts w:ascii="Times New Roman" w:hAnsi="Times New Roman" w:cs="Times New Roman"/>
          <w:color w:val="FF0000"/>
        </w:rPr>
        <w:t xml:space="preserve"> </w:t>
      </w:r>
      <w:r w:rsidRPr="00931453">
        <w:rPr>
          <w:rFonts w:ascii="Times New Roman" w:hAnsi="Times New Roman" w:cs="Times New Roman"/>
        </w:rPr>
        <w:t xml:space="preserve">sont-ils pas savamment entretenus, rendant les jugements amnésiques au profit d’une </w:t>
      </w:r>
      <w:r w:rsidRPr="00931453">
        <w:rPr>
          <w:rFonts w:ascii="Times New Roman" w:hAnsi="Times New Roman" w:cs="Times New Roman"/>
          <w:i/>
        </w:rPr>
        <w:t>doxa</w:t>
      </w:r>
      <w:r w:rsidRPr="00931453">
        <w:rPr>
          <w:rFonts w:ascii="Times New Roman" w:hAnsi="Times New Roman" w:cs="Times New Roman"/>
        </w:rPr>
        <w:t xml:space="preserve"> ambiante ? Quel rôle jouent les réseaux et quel est le degré d’efficience des formes de lobbying au service d’une cause ? Il s’agit de s’interroger aussi sur des formes de comportement susceptibles d’impulser, d’infléchir voire de rendre inopérants des solutions en émergence. Là encore, historiens, sociologues, économistes peuvent, par des études de cas (ex : la question du nucléaire dès les années 1930), apporter certains éléments de réponse.</w:t>
      </w:r>
    </w:p>
    <w:p w14:paraId="597E8C3D"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L’entreprise face au défi énergétique</w:t>
      </w:r>
    </w:p>
    <w:p w14:paraId="6C5A7DB6" w14:textId="6C8DBA98" w:rsidR="005C6685"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Si l’industrie semble aujourd’hui soumise à des contraintes énergétiques fortes, cette problématique n’est-elle pas née avec la révolution industrielle elle-même ? L’entreprise n’est-elle pas dans la recherche permanente d’une indépendance énergétique ? Dans leur quête du machinisme, L’hydraulique, la vapeur, l’électricité, le pétrole, ont tour à tour été des domaines de vives préoccupations pour les entreprises. La responsabilité sociale et environnementale endossée par l’activité industrielle est-elle réellement un phénomène contemporain ? Quels en sont les leviers d’action et comment les entreprises en jouent-elles dans leur stratégie de développement ? Et au-delà, se pose la question des filières technologiques. Comment les dépasser, les biaiser, les réinterpréter en fonction des nouvelles donnes ?</w:t>
      </w:r>
    </w:p>
    <w:sectPr w:rsidR="005C6685" w:rsidRPr="00931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B1FC" w14:textId="77777777" w:rsidR="002D121A" w:rsidRDefault="002D121A" w:rsidP="00472F45">
      <w:pPr>
        <w:spacing w:after="0" w:line="240" w:lineRule="auto"/>
      </w:pPr>
      <w:r>
        <w:separator/>
      </w:r>
    </w:p>
  </w:endnote>
  <w:endnote w:type="continuationSeparator" w:id="0">
    <w:p w14:paraId="16C7FCD7" w14:textId="77777777" w:rsidR="002D121A" w:rsidRDefault="002D121A" w:rsidP="0047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27AA" w14:textId="77777777" w:rsidR="002D121A" w:rsidRDefault="002D121A" w:rsidP="00472F45">
      <w:pPr>
        <w:spacing w:after="0" w:line="240" w:lineRule="auto"/>
      </w:pPr>
      <w:r>
        <w:separator/>
      </w:r>
    </w:p>
  </w:footnote>
  <w:footnote w:type="continuationSeparator" w:id="0">
    <w:p w14:paraId="6498CAA1" w14:textId="77777777" w:rsidR="002D121A" w:rsidRDefault="002D121A" w:rsidP="00472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2BE7"/>
    <w:multiLevelType w:val="hybridMultilevel"/>
    <w:tmpl w:val="51A21D3A"/>
    <w:lvl w:ilvl="0" w:tplc="B90A4F22">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
    <w:nsid w:val="638407FB"/>
    <w:multiLevelType w:val="hybridMultilevel"/>
    <w:tmpl w:val="4D1C934E"/>
    <w:lvl w:ilvl="0" w:tplc="9894EA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C9"/>
    <w:rsid w:val="000E15E9"/>
    <w:rsid w:val="001502D6"/>
    <w:rsid w:val="001B6214"/>
    <w:rsid w:val="001C0C64"/>
    <w:rsid w:val="001C6FC9"/>
    <w:rsid w:val="0024377C"/>
    <w:rsid w:val="0026081B"/>
    <w:rsid w:val="00260E91"/>
    <w:rsid w:val="002868DE"/>
    <w:rsid w:val="002C7F01"/>
    <w:rsid w:val="002D121A"/>
    <w:rsid w:val="002D43BA"/>
    <w:rsid w:val="002E7D65"/>
    <w:rsid w:val="003B59F9"/>
    <w:rsid w:val="003F1D0B"/>
    <w:rsid w:val="004010CC"/>
    <w:rsid w:val="004314AD"/>
    <w:rsid w:val="004616FD"/>
    <w:rsid w:val="00472F45"/>
    <w:rsid w:val="00473BF0"/>
    <w:rsid w:val="00497CCF"/>
    <w:rsid w:val="00497F84"/>
    <w:rsid w:val="004A2207"/>
    <w:rsid w:val="004C2DC7"/>
    <w:rsid w:val="0052707E"/>
    <w:rsid w:val="00543A42"/>
    <w:rsid w:val="005C6685"/>
    <w:rsid w:val="00666730"/>
    <w:rsid w:val="006A17F9"/>
    <w:rsid w:val="007272BC"/>
    <w:rsid w:val="00747F55"/>
    <w:rsid w:val="008554B3"/>
    <w:rsid w:val="008646D7"/>
    <w:rsid w:val="008D01C8"/>
    <w:rsid w:val="00931453"/>
    <w:rsid w:val="009715AB"/>
    <w:rsid w:val="009B75B9"/>
    <w:rsid w:val="00A20EB6"/>
    <w:rsid w:val="00AC5F72"/>
    <w:rsid w:val="00B12160"/>
    <w:rsid w:val="00B310F1"/>
    <w:rsid w:val="00B373A9"/>
    <w:rsid w:val="00B37B62"/>
    <w:rsid w:val="00B63E36"/>
    <w:rsid w:val="00BA6515"/>
    <w:rsid w:val="00BB2D41"/>
    <w:rsid w:val="00BC15F1"/>
    <w:rsid w:val="00BE01EC"/>
    <w:rsid w:val="00BF67ED"/>
    <w:rsid w:val="00C21E39"/>
    <w:rsid w:val="00C23BFC"/>
    <w:rsid w:val="00C45BD3"/>
    <w:rsid w:val="00CE47D9"/>
    <w:rsid w:val="00D22C87"/>
    <w:rsid w:val="00D34E14"/>
    <w:rsid w:val="00D35453"/>
    <w:rsid w:val="00D47920"/>
    <w:rsid w:val="00D6199F"/>
    <w:rsid w:val="00D70D42"/>
    <w:rsid w:val="00D90EC4"/>
    <w:rsid w:val="00DB1238"/>
    <w:rsid w:val="00DF27FC"/>
    <w:rsid w:val="00DF3DF6"/>
    <w:rsid w:val="00E0681F"/>
    <w:rsid w:val="00E671F9"/>
    <w:rsid w:val="00E86BA2"/>
    <w:rsid w:val="00E95244"/>
    <w:rsid w:val="00EB2923"/>
    <w:rsid w:val="00EE1DE6"/>
    <w:rsid w:val="00EE521B"/>
    <w:rsid w:val="00F72C1A"/>
    <w:rsid w:val="00FB76D0"/>
    <w:rsid w:val="00FE186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685"/>
    <w:pPr>
      <w:ind w:left="720"/>
      <w:contextualSpacing/>
    </w:pPr>
  </w:style>
  <w:style w:type="paragraph" w:styleId="Notedebasdepage">
    <w:name w:val="footnote text"/>
    <w:basedOn w:val="Normal"/>
    <w:link w:val="NotedebasdepageCar"/>
    <w:uiPriority w:val="99"/>
    <w:semiHidden/>
    <w:unhideWhenUsed/>
    <w:rsid w:val="00472F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2F45"/>
    <w:rPr>
      <w:sz w:val="20"/>
      <w:szCs w:val="20"/>
    </w:rPr>
  </w:style>
  <w:style w:type="character" w:styleId="Appelnotedebasdep">
    <w:name w:val="footnote reference"/>
    <w:basedOn w:val="Policepardfaut"/>
    <w:uiPriority w:val="99"/>
    <w:semiHidden/>
    <w:unhideWhenUsed/>
    <w:rsid w:val="00472F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685"/>
    <w:pPr>
      <w:ind w:left="720"/>
      <w:contextualSpacing/>
    </w:pPr>
  </w:style>
  <w:style w:type="paragraph" w:styleId="Notedebasdepage">
    <w:name w:val="footnote text"/>
    <w:basedOn w:val="Normal"/>
    <w:link w:val="NotedebasdepageCar"/>
    <w:uiPriority w:val="99"/>
    <w:semiHidden/>
    <w:unhideWhenUsed/>
    <w:rsid w:val="00472F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2F45"/>
    <w:rPr>
      <w:sz w:val="20"/>
      <w:szCs w:val="20"/>
    </w:rPr>
  </w:style>
  <w:style w:type="character" w:styleId="Appelnotedebasdep">
    <w:name w:val="footnote reference"/>
    <w:basedOn w:val="Policepardfaut"/>
    <w:uiPriority w:val="99"/>
    <w:semiHidden/>
    <w:unhideWhenUsed/>
    <w:rsid w:val="00472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ierre.lamard@utbm.fr" TargetMode="External"/><Relationship Id="rId4" Type="http://schemas.microsoft.com/office/2007/relationships/stylesWithEffects" Target="stylesWithEffects.xml"/><Relationship Id="rId9" Type="http://schemas.openxmlformats.org/officeDocument/2006/relationships/hyperlink" Target="mailto:nicolas.stoskopf@uh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F048-85BF-4590-98E0-7B59C0EC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9AB44955</Template>
  <TotalTime>0</TotalTime>
  <Pages>2</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Lamard</dc:creator>
  <cp:lastModifiedBy>Pierre Lamard</cp:lastModifiedBy>
  <cp:revision>2</cp:revision>
  <cp:lastPrinted>2013-09-16T07:23:00Z</cp:lastPrinted>
  <dcterms:created xsi:type="dcterms:W3CDTF">2014-01-16T08:42:00Z</dcterms:created>
  <dcterms:modified xsi:type="dcterms:W3CDTF">2014-01-16T08:42:00Z</dcterms:modified>
</cp:coreProperties>
</file>