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F" w:rsidRPr="00C863A1" w:rsidRDefault="00F5550F" w:rsidP="00F5550F">
      <w:pPr>
        <w:jc w:val="center"/>
        <w:rPr>
          <w:rFonts w:ascii="Times New Roman" w:hAnsi="Times New Roman"/>
          <w:b/>
          <w:sz w:val="28"/>
          <w:szCs w:val="28"/>
        </w:rPr>
      </w:pPr>
      <w:r>
        <w:rPr>
          <w:rFonts w:ascii="Times New Roman" w:hAnsi="Times New Roman"/>
          <w:b/>
          <w:sz w:val="28"/>
          <w:szCs w:val="28"/>
        </w:rPr>
        <w:t>ECOLE DES HAUTES ETUDES EN SCIENCES SOCIALES</w:t>
      </w:r>
    </w:p>
    <w:p w:rsidR="00F5550F" w:rsidRDefault="00F5550F" w:rsidP="00F5550F">
      <w:pPr>
        <w:jc w:val="center"/>
        <w:rPr>
          <w:rFonts w:ascii="Times New Roman" w:hAnsi="Times New Roman"/>
          <w:b/>
          <w:sz w:val="24"/>
          <w:szCs w:val="24"/>
        </w:rPr>
      </w:pPr>
      <w:r>
        <w:rPr>
          <w:rFonts w:ascii="Times New Roman" w:hAnsi="Times New Roman"/>
          <w:b/>
          <w:sz w:val="24"/>
          <w:szCs w:val="24"/>
        </w:rPr>
        <w:t>__________</w:t>
      </w:r>
    </w:p>
    <w:p w:rsidR="00F5550F" w:rsidRDefault="00F5550F" w:rsidP="00F5550F">
      <w:pPr>
        <w:jc w:val="center"/>
        <w:rPr>
          <w:rFonts w:ascii="Times New Roman" w:hAnsi="Times New Roman"/>
          <w:b/>
          <w:sz w:val="24"/>
          <w:szCs w:val="24"/>
        </w:rPr>
      </w:pPr>
      <w:r>
        <w:rPr>
          <w:rFonts w:ascii="Times New Roman" w:hAnsi="Times New Roman"/>
          <w:b/>
          <w:sz w:val="24"/>
          <w:szCs w:val="24"/>
        </w:rPr>
        <w:t>Claudine FONTANON, Irina GOUZEVITCH, André GRELON</w:t>
      </w:r>
    </w:p>
    <w:p w:rsidR="00F5550F" w:rsidRDefault="00F5550F" w:rsidP="00F5550F">
      <w:pPr>
        <w:jc w:val="center"/>
        <w:rPr>
          <w:rFonts w:ascii="Times New Roman" w:hAnsi="Times New Roman"/>
          <w:b/>
          <w:sz w:val="24"/>
          <w:szCs w:val="24"/>
        </w:rPr>
      </w:pPr>
      <w:r>
        <w:rPr>
          <w:rFonts w:ascii="Times New Roman" w:hAnsi="Times New Roman"/>
          <w:b/>
          <w:sz w:val="24"/>
          <w:szCs w:val="24"/>
        </w:rPr>
        <w:t xml:space="preserve">SEMINAIRE DE RECHERCHE 2015 – 2016 </w:t>
      </w:r>
    </w:p>
    <w:p w:rsidR="00F5550F" w:rsidRDefault="00F5550F" w:rsidP="00F5550F">
      <w:pPr>
        <w:jc w:val="center"/>
        <w:rPr>
          <w:rFonts w:ascii="Times New Roman" w:hAnsi="Times New Roman"/>
          <w:b/>
          <w:i/>
          <w:sz w:val="24"/>
          <w:szCs w:val="24"/>
        </w:rPr>
      </w:pPr>
      <w:r>
        <w:rPr>
          <w:rFonts w:ascii="Times New Roman" w:hAnsi="Times New Roman"/>
          <w:b/>
          <w:i/>
          <w:sz w:val="24"/>
          <w:szCs w:val="24"/>
        </w:rPr>
        <w:t>Ingénieurs, professions techniques et sociétés</w:t>
      </w:r>
    </w:p>
    <w:p w:rsidR="00F5550F" w:rsidRDefault="00F5550F" w:rsidP="00687B78">
      <w:pPr>
        <w:spacing w:after="0"/>
        <w:jc w:val="both"/>
        <w:rPr>
          <w:rFonts w:ascii="Times New Roman" w:hAnsi="Times New Roman"/>
          <w:sz w:val="24"/>
          <w:szCs w:val="24"/>
        </w:rPr>
      </w:pPr>
      <w:r>
        <w:tab/>
      </w:r>
      <w:r>
        <w:rPr>
          <w:rFonts w:ascii="Times New Roman" w:hAnsi="Times New Roman"/>
          <w:sz w:val="24"/>
          <w:szCs w:val="24"/>
        </w:rPr>
        <w:t xml:space="preserve">Comme l’année dernière le séminaire se propose d’examiner, dans une perspective pluridisciplinaire et comparative, la naissance et l’essor des professionnels techniques, et notamment des ingénieurs, en particulier dans l’Europe moderne et contemporaine, les rôles qu’ils ont joué et jouent dans les différentes phases de l’industrialisation et dans le développement contemporain des sociétés </w:t>
      </w:r>
      <w:proofErr w:type="spellStart"/>
      <w:r>
        <w:rPr>
          <w:rFonts w:ascii="Times New Roman" w:hAnsi="Times New Roman"/>
          <w:sz w:val="24"/>
          <w:szCs w:val="24"/>
        </w:rPr>
        <w:t>scientifico</w:t>
      </w:r>
      <w:proofErr w:type="spellEnd"/>
      <w:r>
        <w:rPr>
          <w:rFonts w:ascii="Times New Roman" w:hAnsi="Times New Roman"/>
          <w:sz w:val="24"/>
          <w:szCs w:val="24"/>
        </w:rPr>
        <w:t>-techniques, les modes d’organisation qu’ils ont mis en œuvre pour se structurer et assurer leur visibilité dans le monde social, les conceptions qu’ils ont élaborées pour penser un monde rationnel, les représentations que leurs contemporains leur renvoient d’eux-mêmes.</w:t>
      </w:r>
    </w:p>
    <w:p w:rsidR="00F5550F" w:rsidRDefault="00F5550F" w:rsidP="00687B78">
      <w:pPr>
        <w:spacing w:after="0"/>
        <w:jc w:val="both"/>
        <w:rPr>
          <w:rFonts w:ascii="Times New Roman" w:hAnsi="Times New Roman"/>
          <w:sz w:val="24"/>
          <w:szCs w:val="24"/>
        </w:rPr>
      </w:pPr>
      <w:r>
        <w:rPr>
          <w:rFonts w:ascii="Times New Roman" w:hAnsi="Times New Roman"/>
          <w:sz w:val="24"/>
          <w:szCs w:val="24"/>
        </w:rPr>
        <w:tab/>
        <w:t xml:space="preserve">Les séances du séminaire sont mensuelles. </w:t>
      </w:r>
      <w:r w:rsidRPr="00C863A1">
        <w:rPr>
          <w:rFonts w:ascii="Times New Roman" w:hAnsi="Times New Roman"/>
          <w:sz w:val="24"/>
          <w:szCs w:val="24"/>
          <w:u w:val="single"/>
        </w:rPr>
        <w:t xml:space="preserve">Sauf en </w:t>
      </w:r>
      <w:r>
        <w:rPr>
          <w:rFonts w:ascii="Times New Roman" w:hAnsi="Times New Roman"/>
          <w:sz w:val="24"/>
          <w:szCs w:val="24"/>
          <w:u w:val="single"/>
        </w:rPr>
        <w:t>mars</w:t>
      </w:r>
      <w:r w:rsidRPr="00C863A1">
        <w:rPr>
          <w:rFonts w:ascii="Times New Roman" w:hAnsi="Times New Roman"/>
          <w:sz w:val="24"/>
          <w:szCs w:val="24"/>
          <w:u w:val="single"/>
        </w:rPr>
        <w:t xml:space="preserve"> 201</w:t>
      </w:r>
      <w:r>
        <w:rPr>
          <w:rFonts w:ascii="Times New Roman" w:hAnsi="Times New Roman"/>
          <w:sz w:val="24"/>
          <w:szCs w:val="24"/>
          <w:u w:val="single"/>
        </w:rPr>
        <w:t>6</w:t>
      </w:r>
      <w:r>
        <w:rPr>
          <w:rFonts w:ascii="Times New Roman" w:hAnsi="Times New Roman"/>
          <w:sz w:val="24"/>
          <w:szCs w:val="24"/>
        </w:rPr>
        <w:t>, elles se tiendront le 3</w:t>
      </w:r>
      <w:r w:rsidRPr="00C863A1">
        <w:rPr>
          <w:rFonts w:ascii="Times New Roman" w:hAnsi="Times New Roman"/>
          <w:sz w:val="24"/>
          <w:szCs w:val="24"/>
          <w:vertAlign w:val="superscript"/>
        </w:rPr>
        <w:t>e</w:t>
      </w:r>
      <w:r>
        <w:rPr>
          <w:rFonts w:ascii="Times New Roman" w:hAnsi="Times New Roman"/>
          <w:sz w:val="24"/>
          <w:szCs w:val="24"/>
        </w:rPr>
        <w:t xml:space="preserve"> jeudi du mois, de 14h à 17h. </w:t>
      </w:r>
      <w:proofErr w:type="gramStart"/>
      <w:r>
        <w:rPr>
          <w:rFonts w:ascii="Times New Roman" w:hAnsi="Times New Roman"/>
          <w:sz w:val="24"/>
          <w:szCs w:val="24"/>
        </w:rPr>
        <w:t>à</w:t>
      </w:r>
      <w:proofErr w:type="gramEnd"/>
      <w:r>
        <w:rPr>
          <w:rFonts w:ascii="Times New Roman" w:hAnsi="Times New Roman"/>
          <w:sz w:val="24"/>
          <w:szCs w:val="24"/>
        </w:rPr>
        <w:t xml:space="preserve"> l’EHESS, 96 boulevard Raspail, en salle des Artistes.</w:t>
      </w:r>
    </w:p>
    <w:p w:rsidR="00F5550F" w:rsidRDefault="00F5550F" w:rsidP="00F5550F">
      <w:pPr>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19 novembre, 17 décembre, 21 janvier, 18 février, </w:t>
      </w:r>
      <w:r w:rsidRPr="00F5550F">
        <w:rPr>
          <w:rFonts w:ascii="Times New Roman" w:hAnsi="Times New Roman"/>
          <w:b/>
          <w:i/>
          <w:sz w:val="24"/>
          <w:szCs w:val="24"/>
          <w:u w:val="single"/>
        </w:rPr>
        <w:t>24 mars</w:t>
      </w:r>
      <w:r>
        <w:rPr>
          <w:rFonts w:ascii="Times New Roman" w:hAnsi="Times New Roman"/>
          <w:b/>
          <w:sz w:val="24"/>
          <w:szCs w:val="24"/>
        </w:rPr>
        <w:t>, 19 mai</w:t>
      </w:r>
      <w:r>
        <w:rPr>
          <w:rFonts w:ascii="Times New Roman" w:hAnsi="Times New Roman"/>
          <w:sz w:val="24"/>
          <w:szCs w:val="24"/>
        </w:rPr>
        <w:t xml:space="preserve"> </w:t>
      </w:r>
    </w:p>
    <w:p w:rsidR="00F5550F" w:rsidRDefault="00F5550F" w:rsidP="00F5550F">
      <w:pPr>
        <w:jc w:val="both"/>
        <w:rPr>
          <w:rFonts w:ascii="Times New Roman" w:hAnsi="Times New Roman"/>
          <w:b/>
          <w:sz w:val="24"/>
          <w:szCs w:val="24"/>
        </w:rPr>
      </w:pPr>
      <w:r>
        <w:rPr>
          <w:rFonts w:ascii="Times New Roman" w:hAnsi="Times New Roman"/>
          <w:sz w:val="24"/>
          <w:szCs w:val="24"/>
        </w:rPr>
        <w:tab/>
        <w:t>Exceptionnellement, la séance du 24 mars se tiendra</w:t>
      </w:r>
      <w:r>
        <w:rPr>
          <w:rFonts w:ascii="Times New Roman" w:hAnsi="Times New Roman"/>
          <w:b/>
          <w:sz w:val="24"/>
          <w:szCs w:val="24"/>
        </w:rPr>
        <w:t>, au 105 boulevard Raspail, en salle 9.</w:t>
      </w:r>
    </w:p>
    <w:p w:rsidR="00F5550F" w:rsidRDefault="00F5550F" w:rsidP="00F5550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Pour la première séance du 19 novembre, nous serons heureux d’accueillir</w:t>
      </w:r>
    </w:p>
    <w:p w:rsidR="00F5550F" w:rsidRPr="00F5550F" w:rsidRDefault="00F5550F" w:rsidP="00F5550F">
      <w:pPr>
        <w:spacing w:before="100" w:after="100" w:line="240" w:lineRule="auto"/>
        <w:jc w:val="center"/>
        <w:rPr>
          <w:rFonts w:ascii="Times New Roman" w:eastAsia="Times New Roman" w:hAnsi="Times New Roman"/>
          <w:b/>
          <w:bCs/>
          <w:kern w:val="3"/>
          <w:sz w:val="28"/>
          <w:szCs w:val="28"/>
          <w:lang w:eastAsia="fr-FR"/>
        </w:rPr>
      </w:pPr>
      <w:r w:rsidRPr="00F5550F">
        <w:rPr>
          <w:rFonts w:ascii="Times New Roman" w:eastAsia="Times New Roman" w:hAnsi="Times New Roman"/>
          <w:b/>
          <w:bCs/>
          <w:kern w:val="3"/>
          <w:sz w:val="28"/>
          <w:szCs w:val="28"/>
          <w:lang w:eastAsia="fr-FR"/>
        </w:rPr>
        <w:t>Lev USYSKIN</w:t>
      </w:r>
      <w:r w:rsidR="00687B78">
        <w:rPr>
          <w:rStyle w:val="Appelnotedebasdep"/>
          <w:rFonts w:ascii="Times New Roman" w:eastAsia="Times New Roman" w:hAnsi="Times New Roman"/>
          <w:b/>
          <w:bCs/>
          <w:kern w:val="3"/>
          <w:sz w:val="28"/>
          <w:szCs w:val="28"/>
          <w:lang w:eastAsia="fr-FR"/>
        </w:rPr>
        <w:footnoteReference w:id="1"/>
      </w:r>
    </w:p>
    <w:p w:rsidR="00F5550F" w:rsidRDefault="00F5550F" w:rsidP="00F5550F">
      <w:pPr>
        <w:spacing w:before="100" w:after="100"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Membre de la Fondation </w:t>
      </w:r>
      <w:proofErr w:type="spellStart"/>
      <w:r>
        <w:rPr>
          <w:rFonts w:ascii="Times New Roman" w:eastAsia="Times New Roman" w:hAnsi="Times New Roman"/>
          <w:sz w:val="24"/>
          <w:szCs w:val="24"/>
          <w:lang w:eastAsia="fr-FR"/>
        </w:rPr>
        <w:t>Dmitri</w:t>
      </w:r>
      <w:proofErr w:type="spellEnd"/>
      <w:r>
        <w:rPr>
          <w:rFonts w:ascii="Times New Roman" w:eastAsia="Times New Roman" w:hAnsi="Times New Roman"/>
          <w:sz w:val="24"/>
          <w:szCs w:val="24"/>
          <w:lang w:eastAsia="fr-FR"/>
        </w:rPr>
        <w:t xml:space="preserve"> </w:t>
      </w:r>
      <w:proofErr w:type="spellStart"/>
      <w:r>
        <w:rPr>
          <w:rFonts w:ascii="Times New Roman" w:eastAsia="Times New Roman" w:hAnsi="Times New Roman"/>
          <w:sz w:val="24"/>
          <w:szCs w:val="24"/>
          <w:lang w:eastAsia="fr-FR"/>
        </w:rPr>
        <w:t>Likhachev</w:t>
      </w:r>
      <w:proofErr w:type="spellEnd"/>
      <w:r>
        <w:rPr>
          <w:rFonts w:ascii="Times New Roman" w:eastAsia="Times New Roman" w:hAnsi="Times New Roman"/>
          <w:sz w:val="24"/>
          <w:szCs w:val="24"/>
          <w:lang w:eastAsia="fr-FR"/>
        </w:rPr>
        <w:t xml:space="preserve">, </w:t>
      </w:r>
    </w:p>
    <w:p w:rsidR="00F5550F" w:rsidRDefault="00F5550F" w:rsidP="00F5550F">
      <w:pPr>
        <w:spacing w:before="100" w:after="100"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Institut Pierre le Grand, Saint-Pétersbourg (Russie</w:t>
      </w:r>
      <w:proofErr w:type="gramStart"/>
      <w:r>
        <w:rPr>
          <w:rFonts w:ascii="Times New Roman" w:eastAsia="Times New Roman" w:hAnsi="Times New Roman"/>
          <w:sz w:val="24"/>
          <w:szCs w:val="24"/>
          <w:lang w:eastAsia="fr-FR"/>
        </w:rPr>
        <w:t>)</w:t>
      </w:r>
      <w:proofErr w:type="gramEnd"/>
      <w:r>
        <w:rPr>
          <w:rFonts w:ascii="Times New Roman" w:eastAsia="Times New Roman" w:hAnsi="Times New Roman"/>
          <w:sz w:val="24"/>
          <w:szCs w:val="24"/>
          <w:lang w:eastAsia="fr-FR"/>
        </w:rPr>
        <w:br/>
        <w:t>professeur invité de l’Ecole normale supérieure au Centre Maurice Halbwachs</w:t>
      </w:r>
    </w:p>
    <w:p w:rsidR="00F5550F" w:rsidRDefault="00F5550F" w:rsidP="00F5550F">
      <w:pPr>
        <w:spacing w:before="100" w:after="100" w:line="240" w:lineRule="auto"/>
        <w:jc w:val="center"/>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pour</w:t>
      </w:r>
      <w:proofErr w:type="gramEnd"/>
      <w:r>
        <w:rPr>
          <w:rFonts w:ascii="Times New Roman" w:eastAsia="Times New Roman" w:hAnsi="Times New Roman"/>
          <w:sz w:val="24"/>
          <w:szCs w:val="24"/>
          <w:lang w:eastAsia="fr-FR"/>
        </w:rPr>
        <w:t xml:space="preserve"> les mois d’octobre et novembre 2015</w:t>
      </w:r>
    </w:p>
    <w:p w:rsidR="00F5550F" w:rsidRDefault="00F5550F" w:rsidP="00F5550F">
      <w:pPr>
        <w:spacing w:before="100" w:after="10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Son exposé portera sur :</w:t>
      </w:r>
    </w:p>
    <w:p w:rsidR="00F5550F" w:rsidRPr="00F5550F" w:rsidRDefault="00F5550F" w:rsidP="00F5550F">
      <w:pPr>
        <w:tabs>
          <w:tab w:val="left" w:pos="720"/>
        </w:tabs>
        <w:suppressAutoHyphens/>
        <w:autoSpaceDN w:val="0"/>
        <w:spacing w:before="100" w:after="100" w:line="240" w:lineRule="auto"/>
        <w:jc w:val="both"/>
        <w:textAlignment w:val="baseline"/>
        <w:rPr>
          <w:rFonts w:ascii="Times New Roman" w:eastAsia="Times New Roman" w:hAnsi="Times New Roman"/>
          <w:b/>
          <w:sz w:val="24"/>
          <w:szCs w:val="24"/>
          <w:lang w:eastAsia="fr-FR"/>
        </w:rPr>
      </w:pPr>
      <w:r w:rsidRPr="00F5550F">
        <w:rPr>
          <w:rFonts w:ascii="Times New Roman" w:eastAsia="Times New Roman" w:hAnsi="Times New Roman"/>
          <w:b/>
          <w:sz w:val="24"/>
          <w:szCs w:val="24"/>
          <w:lang w:eastAsia="fr-FR"/>
        </w:rPr>
        <w:t xml:space="preserve">La fabrique des mosaïques de </w:t>
      </w:r>
      <w:proofErr w:type="spellStart"/>
      <w:r w:rsidRPr="00F5550F">
        <w:rPr>
          <w:rFonts w:ascii="Times New Roman" w:eastAsia="Times New Roman" w:hAnsi="Times New Roman"/>
          <w:b/>
          <w:sz w:val="24"/>
          <w:szCs w:val="24"/>
          <w:lang w:eastAsia="fr-FR"/>
        </w:rPr>
        <w:t>Mihail</w:t>
      </w:r>
      <w:proofErr w:type="spellEnd"/>
      <w:r w:rsidRPr="00F5550F">
        <w:rPr>
          <w:rFonts w:ascii="Times New Roman" w:eastAsia="Times New Roman" w:hAnsi="Times New Roman"/>
          <w:b/>
          <w:sz w:val="24"/>
          <w:szCs w:val="24"/>
          <w:lang w:eastAsia="fr-FR"/>
        </w:rPr>
        <w:t xml:space="preserve"> Lomonossov (1752-1768) : entre la science académique, le prestige national et l’entreprise commerciale à vocation artistique</w:t>
      </w:r>
    </w:p>
    <w:p w:rsidR="00F5550F" w:rsidRPr="00F02D4B" w:rsidRDefault="00F5550F" w:rsidP="00F02D4B">
      <w:pPr>
        <w:tabs>
          <w:tab w:val="left" w:pos="720"/>
        </w:tabs>
        <w:suppressAutoHyphens/>
        <w:autoSpaceDN w:val="0"/>
        <w:spacing w:after="100" w:line="240" w:lineRule="auto"/>
        <w:jc w:val="both"/>
        <w:textAlignment w:val="baseline"/>
        <w:rPr>
          <w:rFonts w:ascii="Times New Roman" w:eastAsia="Times New Roman" w:hAnsi="Times New Roman"/>
          <w:i/>
          <w:sz w:val="24"/>
          <w:szCs w:val="24"/>
          <w:lang w:eastAsia="fr-FR"/>
        </w:rPr>
      </w:pPr>
      <w:r w:rsidRPr="00F02D4B">
        <w:rPr>
          <w:rFonts w:ascii="Times New Roman" w:eastAsia="Times New Roman" w:hAnsi="Times New Roman"/>
          <w:i/>
          <w:sz w:val="24"/>
          <w:szCs w:val="24"/>
          <w:lang w:eastAsia="fr-FR"/>
        </w:rPr>
        <w:t>L’auteur se propose d’examiner le projet de fabrication d</w:t>
      </w:r>
      <w:r w:rsidR="00F02D4B">
        <w:rPr>
          <w:rFonts w:ascii="Times New Roman" w:eastAsia="Times New Roman" w:hAnsi="Times New Roman"/>
          <w:i/>
          <w:sz w:val="24"/>
          <w:szCs w:val="24"/>
          <w:lang w:eastAsia="fr-FR"/>
        </w:rPr>
        <w:t>’</w:t>
      </w:r>
      <w:r w:rsidRPr="00F02D4B">
        <w:rPr>
          <w:rFonts w:ascii="Times New Roman" w:eastAsia="Times New Roman" w:hAnsi="Times New Roman"/>
          <w:i/>
          <w:sz w:val="24"/>
          <w:szCs w:val="24"/>
          <w:lang w:eastAsia="fr-FR"/>
        </w:rPr>
        <w:t xml:space="preserve">objets en verre coloré </w:t>
      </w:r>
      <w:r w:rsidR="00F02D4B">
        <w:rPr>
          <w:rFonts w:ascii="Times New Roman" w:eastAsia="Times New Roman" w:hAnsi="Times New Roman"/>
          <w:i/>
          <w:sz w:val="24"/>
          <w:szCs w:val="24"/>
          <w:lang w:eastAsia="fr-FR"/>
        </w:rPr>
        <w:t xml:space="preserve">mis en œuvre </w:t>
      </w:r>
      <w:r w:rsidRPr="00F02D4B">
        <w:rPr>
          <w:rFonts w:ascii="Times New Roman" w:eastAsia="Times New Roman" w:hAnsi="Times New Roman"/>
          <w:i/>
          <w:sz w:val="24"/>
          <w:szCs w:val="24"/>
          <w:lang w:eastAsia="fr-FR"/>
        </w:rPr>
        <w:t xml:space="preserve"> par </w:t>
      </w:r>
      <w:proofErr w:type="spellStart"/>
      <w:r w:rsidRPr="00F02D4B">
        <w:rPr>
          <w:rFonts w:ascii="Times New Roman" w:eastAsia="Times New Roman" w:hAnsi="Times New Roman"/>
          <w:i/>
          <w:sz w:val="24"/>
          <w:szCs w:val="24"/>
          <w:lang w:eastAsia="fr-FR"/>
        </w:rPr>
        <w:t>Mihaïl</w:t>
      </w:r>
      <w:proofErr w:type="spellEnd"/>
      <w:r w:rsidRPr="00F02D4B">
        <w:rPr>
          <w:rFonts w:ascii="Times New Roman" w:eastAsia="Times New Roman" w:hAnsi="Times New Roman"/>
          <w:i/>
          <w:sz w:val="24"/>
          <w:szCs w:val="24"/>
          <w:lang w:eastAsia="fr-FR"/>
        </w:rPr>
        <w:t xml:space="preserve"> Lomonossov en 1746-1765 en termes d’entreprise contemporaine. Y seront formulées la mission du projet et la stratégie du marché et des ventes ; estimés les investissements nécessaires ; examinées les conditions de la mise en route du projet ; analysés ses avantages et ses défaillances, le potentiel non-réalisé, les erreurs de Lomonossov en tant que chef du projet, les alternatives à la crise. Enfin, on tentera de formuler les conditions qui auraient contribué à éviter l’échec du projet.</w:t>
      </w:r>
    </w:p>
    <w:p w:rsidR="00EF6485" w:rsidRPr="00F5550F" w:rsidRDefault="00F5550F">
      <w:pPr>
        <w:rPr>
          <w:rFonts w:ascii="Times New Roman" w:hAnsi="Times New Roman"/>
          <w:sz w:val="24"/>
          <w:szCs w:val="24"/>
        </w:rPr>
      </w:pPr>
      <w:r w:rsidRPr="00F5550F">
        <w:rPr>
          <w:rFonts w:ascii="Times New Roman" w:hAnsi="Times New Roman"/>
          <w:sz w:val="24"/>
          <w:szCs w:val="24"/>
        </w:rPr>
        <w:t xml:space="preserve"> </w:t>
      </w:r>
    </w:p>
    <w:sectPr w:rsidR="00EF6485" w:rsidRPr="00F5550F" w:rsidSect="00EF64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38" w:rsidRDefault="00242538" w:rsidP="00687B78">
      <w:pPr>
        <w:spacing w:after="0" w:line="240" w:lineRule="auto"/>
      </w:pPr>
      <w:r>
        <w:separator/>
      </w:r>
    </w:p>
  </w:endnote>
  <w:endnote w:type="continuationSeparator" w:id="0">
    <w:p w:rsidR="00242538" w:rsidRDefault="00242538" w:rsidP="00687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38" w:rsidRDefault="00242538" w:rsidP="00687B78">
      <w:pPr>
        <w:spacing w:after="0" w:line="240" w:lineRule="auto"/>
      </w:pPr>
      <w:r>
        <w:separator/>
      </w:r>
    </w:p>
  </w:footnote>
  <w:footnote w:type="continuationSeparator" w:id="0">
    <w:p w:rsidR="00242538" w:rsidRDefault="00242538" w:rsidP="00687B78">
      <w:pPr>
        <w:spacing w:after="0" w:line="240" w:lineRule="auto"/>
      </w:pPr>
      <w:r>
        <w:continuationSeparator/>
      </w:r>
    </w:p>
  </w:footnote>
  <w:footnote w:id="1">
    <w:p w:rsidR="00687B78" w:rsidRDefault="00687B78" w:rsidP="00687B78">
      <w:pPr>
        <w:spacing w:before="100" w:after="100" w:line="240" w:lineRule="auto"/>
        <w:rPr>
          <w:rFonts w:ascii="Times New Roman" w:eastAsia="Times New Roman" w:hAnsi="Times New Roman"/>
          <w:iCs/>
          <w:sz w:val="24"/>
          <w:szCs w:val="24"/>
          <w:lang w:eastAsia="fr-FR"/>
        </w:rPr>
      </w:pPr>
      <w:r>
        <w:rPr>
          <w:rStyle w:val="Appelnotedebasdep"/>
        </w:rPr>
        <w:footnoteRef/>
      </w:r>
      <w:r>
        <w:t xml:space="preserve"> </w:t>
      </w:r>
      <w:r w:rsidRPr="00687B78">
        <w:rPr>
          <w:rFonts w:ascii="Times New Roman" w:eastAsia="Times New Roman" w:hAnsi="Times New Roman"/>
          <w:iCs/>
          <w:sz w:val="20"/>
          <w:szCs w:val="20"/>
          <w:lang w:eastAsia="fr-FR"/>
        </w:rPr>
        <w:t>Page perso à consulter sur le site : http://transfers.ePns.fr/article452.html</w:t>
      </w:r>
    </w:p>
    <w:p w:rsidR="00687B78" w:rsidRDefault="00687B78">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9A1"/>
    <w:multiLevelType w:val="multilevel"/>
    <w:tmpl w:val="7D103E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4903752"/>
    <w:multiLevelType w:val="multilevel"/>
    <w:tmpl w:val="232C9F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5550F"/>
    <w:rsid w:val="000A192C"/>
    <w:rsid w:val="00242538"/>
    <w:rsid w:val="00687B78"/>
    <w:rsid w:val="00EF6485"/>
    <w:rsid w:val="00F02D4B"/>
    <w:rsid w:val="00F555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87B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7B78"/>
    <w:rPr>
      <w:rFonts w:ascii="Calibri" w:eastAsia="Calibri" w:hAnsi="Calibri" w:cs="Times New Roman"/>
      <w:sz w:val="20"/>
      <w:szCs w:val="20"/>
    </w:rPr>
  </w:style>
  <w:style w:type="character" w:styleId="Appelnotedebasdep">
    <w:name w:val="footnote reference"/>
    <w:basedOn w:val="Policepardfaut"/>
    <w:uiPriority w:val="99"/>
    <w:semiHidden/>
    <w:unhideWhenUsed/>
    <w:rsid w:val="00687B7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9AB3-A7A1-4774-9846-6A4B3013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agrelon</dc:creator>
  <cp:lastModifiedBy>agrelon</cp:lastModifiedBy>
  <cp:revision>2</cp:revision>
  <dcterms:created xsi:type="dcterms:W3CDTF">2015-11-04T10:59:00Z</dcterms:created>
  <dcterms:modified xsi:type="dcterms:W3CDTF">2015-11-04T11:15:00Z</dcterms:modified>
</cp:coreProperties>
</file>