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8937" w14:textId="77777777" w:rsidR="00C864AA" w:rsidRPr="00C864AA" w:rsidRDefault="00C864AA" w:rsidP="00C864AA">
      <w:pPr>
        <w:jc w:val="center"/>
        <w:rPr>
          <w:rFonts w:asciiTheme="majorHAnsi" w:hAnsiTheme="majorHAnsi"/>
          <w:b/>
          <w:color w:val="365F91" w:themeColor="accent1" w:themeShade="BF"/>
        </w:rPr>
      </w:pPr>
      <w:r w:rsidRPr="00C864AA">
        <w:rPr>
          <w:rFonts w:asciiTheme="majorHAnsi" w:hAnsiTheme="majorHAnsi"/>
          <w:b/>
          <w:color w:val="365F91" w:themeColor="accent1" w:themeShade="BF"/>
        </w:rPr>
        <w:t>Ateliers  du Campus Condorcet 2016-2017</w:t>
      </w:r>
    </w:p>
    <w:p w14:paraId="3DC6007C" w14:textId="77777777" w:rsidR="00C864AA" w:rsidRPr="00C864AA" w:rsidRDefault="00C864AA" w:rsidP="00C864AA">
      <w:pPr>
        <w:jc w:val="center"/>
        <w:rPr>
          <w:rFonts w:asciiTheme="majorHAnsi" w:hAnsiTheme="majorHAnsi"/>
          <w:color w:val="365F91" w:themeColor="accent1" w:themeShade="BF"/>
        </w:rPr>
      </w:pPr>
      <w:r w:rsidRPr="00C864AA">
        <w:rPr>
          <w:rFonts w:asciiTheme="majorHAnsi" w:hAnsiTheme="majorHAnsi"/>
          <w:color w:val="365F91" w:themeColor="accent1" w:themeShade="BF"/>
        </w:rPr>
        <w:t>Axe : transversal</w:t>
      </w:r>
    </w:p>
    <w:p w14:paraId="700D7879" w14:textId="77777777" w:rsidR="0031081B" w:rsidRPr="00C864AA" w:rsidRDefault="00C864AA" w:rsidP="00C864AA">
      <w:pPr>
        <w:jc w:val="center"/>
        <w:rPr>
          <w:rFonts w:asciiTheme="majorHAnsi" w:hAnsiTheme="majorHAnsi"/>
          <w:color w:val="365F91" w:themeColor="accent1" w:themeShade="BF"/>
        </w:rPr>
      </w:pPr>
      <w:r w:rsidRPr="00C864AA">
        <w:rPr>
          <w:rFonts w:asciiTheme="majorHAnsi" w:hAnsiTheme="majorHAnsi"/>
          <w:color w:val="365F91" w:themeColor="accent1" w:themeShade="BF"/>
        </w:rPr>
        <w:t>Humanités Numériques</w:t>
      </w:r>
    </w:p>
    <w:p w14:paraId="4FD3BB95" w14:textId="77777777" w:rsidR="00896537" w:rsidRDefault="00896537">
      <w:pPr>
        <w:rPr>
          <w:b/>
        </w:rPr>
      </w:pPr>
    </w:p>
    <w:p w14:paraId="08D02643" w14:textId="77777777" w:rsidR="00753626" w:rsidRPr="00C864AA" w:rsidRDefault="00896537" w:rsidP="00427E8D">
      <w:pPr>
        <w:jc w:val="center"/>
        <w:rPr>
          <w:rFonts w:asciiTheme="majorHAnsi" w:hAnsiTheme="majorHAnsi"/>
          <w:b/>
          <w:color w:val="365F91" w:themeColor="accent1" w:themeShade="BF"/>
        </w:rPr>
      </w:pPr>
      <w:r w:rsidRPr="00C864AA">
        <w:rPr>
          <w:rFonts w:asciiTheme="majorHAnsi" w:hAnsiTheme="majorHAnsi"/>
          <w:b/>
          <w:color w:val="365F91" w:themeColor="accent1" w:themeShade="BF"/>
        </w:rPr>
        <w:t>La reconstitution - processus heuristique et/ou objet de médiation ?</w:t>
      </w:r>
    </w:p>
    <w:p w14:paraId="345897BB" w14:textId="77777777" w:rsidR="00427E8D" w:rsidRDefault="00427E8D" w:rsidP="00427E8D">
      <w:pPr>
        <w:jc w:val="center"/>
        <w:rPr>
          <w:rFonts w:asciiTheme="majorHAnsi" w:hAnsiTheme="majorHAnsi"/>
          <w:color w:val="365F91" w:themeColor="accent1" w:themeShade="BF"/>
        </w:rPr>
      </w:pPr>
      <w:r w:rsidRPr="00C864AA">
        <w:rPr>
          <w:rFonts w:asciiTheme="majorHAnsi" w:hAnsiTheme="majorHAnsi"/>
          <w:color w:val="365F91" w:themeColor="accent1" w:themeShade="BF"/>
        </w:rPr>
        <w:t>Séance 1.</w:t>
      </w:r>
    </w:p>
    <w:p w14:paraId="45C1AE09" w14:textId="77777777" w:rsidR="00C864AA" w:rsidRPr="00C864AA" w:rsidRDefault="00C864AA" w:rsidP="00427E8D">
      <w:pPr>
        <w:jc w:val="center"/>
        <w:rPr>
          <w:rFonts w:asciiTheme="majorHAnsi" w:hAnsiTheme="majorHAnsi"/>
          <w:color w:val="365F91" w:themeColor="accent1" w:themeShade="BF"/>
        </w:rPr>
      </w:pPr>
    </w:p>
    <w:p w14:paraId="323E6597" w14:textId="77777777" w:rsidR="00427E8D" w:rsidRPr="00C864AA" w:rsidRDefault="00427E8D" w:rsidP="00427E8D">
      <w:pPr>
        <w:jc w:val="center"/>
        <w:rPr>
          <w:b/>
          <w:color w:val="365F91" w:themeColor="accent1" w:themeShade="BF"/>
          <w:sz w:val="28"/>
          <w:szCs w:val="28"/>
        </w:rPr>
      </w:pPr>
      <w:r w:rsidRPr="00C864AA">
        <w:rPr>
          <w:b/>
          <w:color w:val="365F91" w:themeColor="accent1" w:themeShade="BF"/>
          <w:sz w:val="28"/>
          <w:szCs w:val="28"/>
        </w:rPr>
        <w:t>16 décembre 2016</w:t>
      </w:r>
    </w:p>
    <w:p w14:paraId="1ECC0EED" w14:textId="77777777" w:rsidR="00427E8D" w:rsidRPr="00C864AA" w:rsidRDefault="00427E8D" w:rsidP="00427E8D">
      <w:pPr>
        <w:jc w:val="center"/>
        <w:rPr>
          <w:color w:val="365F91" w:themeColor="accent1" w:themeShade="BF"/>
          <w:sz w:val="28"/>
          <w:szCs w:val="28"/>
        </w:rPr>
      </w:pPr>
      <w:r w:rsidRPr="00C864AA">
        <w:rPr>
          <w:color w:val="365F91" w:themeColor="accent1" w:themeShade="BF"/>
          <w:sz w:val="28"/>
          <w:szCs w:val="28"/>
        </w:rPr>
        <w:t>14h -18h</w:t>
      </w:r>
    </w:p>
    <w:p w14:paraId="15654F00" w14:textId="77777777" w:rsidR="00427E8D" w:rsidRPr="00C864AA" w:rsidRDefault="00427E8D" w:rsidP="00427E8D">
      <w:pPr>
        <w:jc w:val="center"/>
        <w:rPr>
          <w:color w:val="365F91" w:themeColor="accent1" w:themeShade="BF"/>
          <w:sz w:val="32"/>
          <w:szCs w:val="32"/>
        </w:rPr>
      </w:pPr>
    </w:p>
    <w:p w14:paraId="6A946F9D" w14:textId="77777777" w:rsidR="00427E8D" w:rsidRPr="00C864AA" w:rsidRDefault="00427E8D" w:rsidP="00427E8D">
      <w:pPr>
        <w:jc w:val="center"/>
        <w:rPr>
          <w:b/>
          <w:iCs/>
          <w:color w:val="365F91" w:themeColor="accent1" w:themeShade="BF"/>
          <w:sz w:val="32"/>
          <w:szCs w:val="32"/>
        </w:rPr>
      </w:pPr>
      <w:r w:rsidRPr="00C864AA">
        <w:rPr>
          <w:b/>
          <w:color w:val="365F91" w:themeColor="accent1" w:themeShade="BF"/>
          <w:sz w:val="32"/>
          <w:szCs w:val="32"/>
        </w:rPr>
        <w:t>« </w:t>
      </w:r>
      <w:r w:rsidRPr="00C864AA">
        <w:rPr>
          <w:b/>
          <w:iCs/>
          <w:color w:val="365F91" w:themeColor="accent1" w:themeShade="BF"/>
          <w:sz w:val="32"/>
          <w:szCs w:val="32"/>
        </w:rPr>
        <w:t>Les maquettes, du XVIIIe siècle aux reconstitutions 3D : outils de conception technique/objet de communication »</w:t>
      </w:r>
    </w:p>
    <w:p w14:paraId="5B8AD837" w14:textId="77777777" w:rsidR="00427E8D" w:rsidRPr="00C864AA" w:rsidRDefault="00427E8D" w:rsidP="00427E8D">
      <w:pPr>
        <w:jc w:val="center"/>
        <w:rPr>
          <w:color w:val="365F91" w:themeColor="accent1" w:themeShade="BF"/>
        </w:rPr>
      </w:pPr>
    </w:p>
    <w:p w14:paraId="78958B52" w14:textId="1FE47345" w:rsidR="00427E8D" w:rsidRPr="00C864AA" w:rsidRDefault="00427E8D" w:rsidP="00427E8D">
      <w:pPr>
        <w:jc w:val="center"/>
        <w:rPr>
          <w:color w:val="365F91" w:themeColor="accent1" w:themeShade="BF"/>
        </w:rPr>
      </w:pPr>
      <w:proofErr w:type="gramStart"/>
      <w:r w:rsidRPr="00C864AA">
        <w:rPr>
          <w:color w:val="365F91" w:themeColor="accent1" w:themeShade="BF"/>
        </w:rPr>
        <w:t>lieu</w:t>
      </w:r>
      <w:proofErr w:type="gramEnd"/>
      <w:r w:rsidRPr="00C864AA">
        <w:rPr>
          <w:color w:val="365F91" w:themeColor="accent1" w:themeShade="BF"/>
        </w:rPr>
        <w:t xml:space="preserve"> : </w:t>
      </w:r>
      <w:r w:rsidR="00445A38" w:rsidRPr="00445A38">
        <w:rPr>
          <w:b/>
          <w:bCs/>
          <w:color w:val="365F91" w:themeColor="accent1" w:themeShade="BF"/>
        </w:rPr>
        <w:t>Université Paris Diderot</w:t>
      </w:r>
      <w:r w:rsidR="00445A38" w:rsidRPr="00445A38">
        <w:rPr>
          <w:b/>
          <w:bCs/>
          <w:color w:val="365F91" w:themeColor="accent1" w:themeShade="BF"/>
          <w:u w:val="single"/>
        </w:rPr>
        <w:t xml:space="preserve">, </w:t>
      </w:r>
      <w:r w:rsidR="00445A38" w:rsidRPr="00445A38">
        <w:rPr>
          <w:b/>
          <w:bCs/>
          <w:color w:val="943634" w:themeColor="accent2" w:themeShade="BF"/>
          <w:u w:val="single"/>
        </w:rPr>
        <w:t>bâtiment Olympe de Gouges, salle 103</w:t>
      </w:r>
      <w:r w:rsidR="00445A38" w:rsidRPr="00445A38">
        <w:rPr>
          <w:b/>
          <w:bCs/>
          <w:color w:val="365F91" w:themeColor="accent1" w:themeShade="BF"/>
        </w:rPr>
        <w:t>.</w:t>
      </w:r>
    </w:p>
    <w:p w14:paraId="1C0EC4B9" w14:textId="77777777" w:rsidR="00427E8D" w:rsidRPr="00C864AA" w:rsidRDefault="00427E8D" w:rsidP="00427E8D">
      <w:pPr>
        <w:jc w:val="center"/>
        <w:rPr>
          <w:color w:val="365F91" w:themeColor="accent1" w:themeShade="BF"/>
        </w:rPr>
      </w:pPr>
    </w:p>
    <w:p w14:paraId="7D9DB177" w14:textId="77777777" w:rsidR="00AC4098" w:rsidRPr="00C864AA" w:rsidRDefault="00AC4098" w:rsidP="00427E8D">
      <w:pPr>
        <w:jc w:val="center"/>
        <w:rPr>
          <w:color w:val="365F91" w:themeColor="accent1" w:themeShade="BF"/>
        </w:rPr>
      </w:pPr>
      <w:proofErr w:type="gramStart"/>
      <w:r w:rsidRPr="00C864AA">
        <w:rPr>
          <w:color w:val="365F91" w:themeColor="accent1" w:themeShade="BF"/>
        </w:rPr>
        <w:t>séance</w:t>
      </w:r>
      <w:proofErr w:type="gramEnd"/>
      <w:r w:rsidRPr="00C864AA">
        <w:rPr>
          <w:color w:val="365F91" w:themeColor="accent1" w:themeShade="BF"/>
        </w:rPr>
        <w:t xml:space="preserve"> mutualisée avec le séminaire</w:t>
      </w:r>
    </w:p>
    <w:p w14:paraId="25AE0E47" w14:textId="77777777" w:rsidR="00427E8D" w:rsidRPr="00C864AA" w:rsidRDefault="00AC4098" w:rsidP="00427E8D">
      <w:pPr>
        <w:jc w:val="center"/>
        <w:rPr>
          <w:rFonts w:asciiTheme="majorHAnsi" w:hAnsiTheme="majorHAnsi" w:cs="Calibri"/>
          <w:bCs/>
          <w:color w:val="365F91" w:themeColor="accent1" w:themeShade="BF"/>
        </w:rPr>
      </w:pPr>
      <w:r w:rsidRPr="00C864AA">
        <w:rPr>
          <w:rFonts w:asciiTheme="majorHAnsi" w:hAnsiTheme="majorHAnsi" w:cs="Calibri"/>
          <w:bCs/>
          <w:i/>
          <w:color w:val="365F91" w:themeColor="accent1" w:themeShade="BF"/>
        </w:rPr>
        <w:t>L’expérience des techniques</w:t>
      </w:r>
      <w:proofErr w:type="gramStart"/>
      <w:r w:rsidRPr="00C864AA">
        <w:rPr>
          <w:rFonts w:asciiTheme="majorHAnsi" w:hAnsiTheme="majorHAnsi" w:cs="Calibri"/>
          <w:bCs/>
          <w:i/>
          <w:color w:val="365F91" w:themeColor="accent1" w:themeShade="BF"/>
        </w:rPr>
        <w:t>  :</w:t>
      </w:r>
      <w:proofErr w:type="gramEnd"/>
      <w:r w:rsidRPr="00C864AA">
        <w:rPr>
          <w:rFonts w:asciiTheme="majorHAnsi" w:hAnsiTheme="majorHAnsi" w:cs="Calibri"/>
          <w:bCs/>
          <w:i/>
          <w:color w:val="365F91" w:themeColor="accent1" w:themeShade="BF"/>
        </w:rPr>
        <w:t xml:space="preserve"> collections, reconstitutions, savoirs et savoir-faire</w:t>
      </w:r>
    </w:p>
    <w:p w14:paraId="216690F0" w14:textId="77777777" w:rsidR="00AC4098" w:rsidRPr="00C864AA" w:rsidRDefault="00AC4098" w:rsidP="00427E8D">
      <w:pPr>
        <w:jc w:val="center"/>
        <w:rPr>
          <w:rFonts w:asciiTheme="majorHAnsi" w:hAnsiTheme="majorHAnsi" w:cs="Calibri"/>
          <w:bCs/>
          <w:color w:val="365F91" w:themeColor="accent1" w:themeShade="BF"/>
        </w:rPr>
      </w:pPr>
      <w:r w:rsidRPr="00C864AA">
        <w:rPr>
          <w:rFonts w:asciiTheme="majorHAnsi" w:hAnsiTheme="majorHAnsi" w:cs="Calibri"/>
          <w:color w:val="365F91" w:themeColor="accent1" w:themeShade="BF"/>
        </w:rPr>
        <w:t>Centre Alexandre Koyré  (EHESS)</w:t>
      </w:r>
      <w:r w:rsidRPr="00C864AA">
        <w:rPr>
          <w:rFonts w:asciiTheme="majorHAnsi" w:hAnsiTheme="majorHAnsi" w:cs="Calibri"/>
          <w:bCs/>
          <w:color w:val="365F91" w:themeColor="accent1" w:themeShade="BF"/>
        </w:rPr>
        <w:t>,</w:t>
      </w:r>
      <w:r w:rsidRPr="00C864AA">
        <w:rPr>
          <w:rFonts w:asciiTheme="majorHAnsi" w:hAnsiTheme="majorHAnsi" w:cs="Calibri"/>
          <w:color w:val="365F91" w:themeColor="accent1" w:themeShade="BF"/>
        </w:rPr>
        <w:t xml:space="preserve"> CEREG-Université Sorbonne Nouvelle-Paris 3</w:t>
      </w:r>
      <w:r w:rsidRPr="00C864AA">
        <w:rPr>
          <w:rFonts w:asciiTheme="majorHAnsi" w:hAnsiTheme="majorHAnsi" w:cs="Calibri"/>
          <w:bCs/>
          <w:color w:val="365F91" w:themeColor="accent1" w:themeShade="BF"/>
        </w:rPr>
        <w:t xml:space="preserve">, </w:t>
      </w:r>
      <w:r w:rsidRPr="00C864AA">
        <w:rPr>
          <w:rFonts w:asciiTheme="majorHAnsi" w:hAnsiTheme="majorHAnsi" w:cs="Calibri"/>
          <w:color w:val="365F91" w:themeColor="accent1" w:themeShade="BF"/>
        </w:rPr>
        <w:t>ICT, SPHERE (</w:t>
      </w:r>
      <w:proofErr w:type="spellStart"/>
      <w:r w:rsidRPr="00C864AA">
        <w:rPr>
          <w:rFonts w:asciiTheme="majorHAnsi" w:hAnsiTheme="majorHAnsi" w:cs="Calibri"/>
          <w:color w:val="365F91" w:themeColor="accent1" w:themeShade="BF"/>
        </w:rPr>
        <w:t>parisDiderot</w:t>
      </w:r>
      <w:proofErr w:type="spellEnd"/>
      <w:r w:rsidRPr="00C864AA">
        <w:rPr>
          <w:rFonts w:asciiTheme="majorHAnsi" w:hAnsiTheme="majorHAnsi" w:cs="Calibri"/>
          <w:color w:val="365F91" w:themeColor="accent1" w:themeShade="BF"/>
        </w:rPr>
        <w:t>/université Paris 7)</w:t>
      </w:r>
    </w:p>
    <w:p w14:paraId="76D3042D" w14:textId="77777777" w:rsidR="00AC4098" w:rsidRPr="00C864AA" w:rsidRDefault="00AC4098" w:rsidP="00427E8D">
      <w:pPr>
        <w:jc w:val="both"/>
        <w:rPr>
          <w:rFonts w:asciiTheme="majorHAnsi" w:hAnsiTheme="majorHAnsi"/>
          <w:color w:val="365F91" w:themeColor="accent1" w:themeShade="BF"/>
          <w:sz w:val="22"/>
          <w:szCs w:val="22"/>
        </w:rPr>
      </w:pPr>
    </w:p>
    <w:p w14:paraId="18542D02" w14:textId="77777777" w:rsidR="00753626" w:rsidRPr="00C864AA" w:rsidRDefault="00753626" w:rsidP="00753626">
      <w:pPr>
        <w:rPr>
          <w:color w:val="365F91" w:themeColor="accent1" w:themeShade="BF"/>
        </w:rPr>
      </w:pPr>
    </w:p>
    <w:p w14:paraId="704F6689" w14:textId="77777777" w:rsidR="00753626" w:rsidRPr="00C864AA" w:rsidRDefault="00753626" w:rsidP="00AC4098">
      <w:pPr>
        <w:jc w:val="both"/>
        <w:rPr>
          <w:rFonts w:asciiTheme="majorHAnsi" w:hAnsiTheme="majorHAnsi"/>
          <w:color w:val="365F91" w:themeColor="accent1" w:themeShade="BF"/>
        </w:rPr>
      </w:pPr>
      <w:r w:rsidRPr="00C864AA">
        <w:rPr>
          <w:rFonts w:asciiTheme="majorHAnsi" w:hAnsiTheme="majorHAnsi"/>
          <w:color w:val="365F91" w:themeColor="accent1" w:themeShade="BF"/>
        </w:rPr>
        <w:t>Cet atelier prolonge la séance initiée l’année dernière sur la maquette, envisageant à la fois sa production comme un outil de conception technique, de visualisation et de pédagogie. Il engagera des comparaison</w:t>
      </w:r>
      <w:r w:rsidR="00AC4098" w:rsidRPr="00C864AA">
        <w:rPr>
          <w:rFonts w:asciiTheme="majorHAnsi" w:hAnsiTheme="majorHAnsi"/>
          <w:color w:val="365F91" w:themeColor="accent1" w:themeShade="BF"/>
        </w:rPr>
        <w:t>s</w:t>
      </w:r>
      <w:r w:rsidRPr="00C864AA">
        <w:rPr>
          <w:rFonts w:asciiTheme="majorHAnsi" w:hAnsiTheme="majorHAnsi"/>
          <w:color w:val="365F91" w:themeColor="accent1" w:themeShade="BF"/>
        </w:rPr>
        <w:t xml:space="preserve"> de longue durée, </w:t>
      </w:r>
      <w:r w:rsidRPr="00C864AA">
        <w:rPr>
          <w:rFonts w:asciiTheme="majorHAnsi" w:hAnsiTheme="majorHAnsi"/>
          <w:bCs/>
          <w:color w:val="365F91" w:themeColor="accent1" w:themeShade="BF"/>
        </w:rPr>
        <w:t>articulant la</w:t>
      </w:r>
      <w:bookmarkStart w:id="0" w:name="_GoBack"/>
      <w:bookmarkEnd w:id="0"/>
      <w:r w:rsidRPr="00C864AA">
        <w:rPr>
          <w:rFonts w:asciiTheme="majorHAnsi" w:hAnsiTheme="majorHAnsi"/>
          <w:bCs/>
          <w:color w:val="365F91" w:themeColor="accent1" w:themeShade="BF"/>
        </w:rPr>
        <w:t xml:space="preserve"> question de la reconstitution 3D virtuelle et la réplication réelle,</w:t>
      </w:r>
      <w:r w:rsidRPr="00C864AA">
        <w:rPr>
          <w:rFonts w:asciiTheme="majorHAnsi" w:hAnsiTheme="majorHAnsi"/>
          <w:color w:val="365F91" w:themeColor="accent1" w:themeShade="BF"/>
        </w:rPr>
        <w:t xml:space="preserve"> en</w:t>
      </w:r>
      <w:r w:rsidR="00AC4098" w:rsidRPr="00C864AA">
        <w:rPr>
          <w:rFonts w:asciiTheme="majorHAnsi" w:hAnsiTheme="majorHAnsi"/>
          <w:color w:val="365F91" w:themeColor="accent1" w:themeShade="BF"/>
        </w:rPr>
        <w:t xml:space="preserve"> partant de </w:t>
      </w:r>
      <w:r w:rsidRPr="00C864AA">
        <w:rPr>
          <w:rFonts w:asciiTheme="majorHAnsi" w:hAnsiTheme="majorHAnsi"/>
          <w:color w:val="365F91" w:themeColor="accent1" w:themeShade="BF"/>
        </w:rPr>
        <w:t xml:space="preserve">différents exemples de modèles </w:t>
      </w:r>
      <w:r w:rsidR="00AC4098" w:rsidRPr="00C864AA">
        <w:rPr>
          <w:rFonts w:asciiTheme="majorHAnsi" w:hAnsiTheme="majorHAnsi"/>
          <w:color w:val="365F91" w:themeColor="accent1" w:themeShade="BF"/>
        </w:rPr>
        <w:t>du</w:t>
      </w:r>
      <w:r w:rsidRPr="00C864AA">
        <w:rPr>
          <w:rFonts w:asciiTheme="majorHAnsi" w:hAnsiTheme="majorHAnsi"/>
          <w:color w:val="365F91" w:themeColor="accent1" w:themeShade="BF"/>
        </w:rPr>
        <w:t xml:space="preserve"> XVIIIe siècle jusqu’aux nouveaux enjeux suscités par l’usage des technologies de reconstitution 3D, dans leur dimension à la fois d’outils de recherche et de médiations.</w:t>
      </w:r>
    </w:p>
    <w:p w14:paraId="311D9A8B" w14:textId="77777777" w:rsidR="00896537" w:rsidRPr="00C864AA" w:rsidRDefault="00896537">
      <w:pPr>
        <w:rPr>
          <w:color w:val="365F91" w:themeColor="accent1" w:themeShade="BF"/>
        </w:rPr>
      </w:pPr>
    </w:p>
    <w:p w14:paraId="57BE9B3D" w14:textId="77777777" w:rsidR="00753626" w:rsidRPr="00C864AA" w:rsidRDefault="00896537" w:rsidP="00896537">
      <w:pPr>
        <w:jc w:val="both"/>
        <w:rPr>
          <w:rFonts w:asciiTheme="majorHAnsi" w:hAnsiTheme="majorHAnsi"/>
          <w:color w:val="365F91" w:themeColor="accent1" w:themeShade="BF"/>
        </w:rPr>
      </w:pPr>
      <w:r w:rsidRPr="00C864AA">
        <w:rPr>
          <w:rFonts w:asciiTheme="majorHAnsi" w:hAnsiTheme="majorHAnsi"/>
          <w:iCs/>
          <w:color w:val="365F91" w:themeColor="accent1" w:themeShade="BF"/>
        </w:rPr>
        <w:t>Table-ronde</w:t>
      </w:r>
      <w:r w:rsidRPr="00C864AA">
        <w:rPr>
          <w:rFonts w:asciiTheme="majorHAnsi" w:hAnsiTheme="majorHAnsi"/>
          <w:color w:val="365F91" w:themeColor="accent1" w:themeShade="BF"/>
        </w:rPr>
        <w:t xml:space="preserve"> : </w:t>
      </w:r>
    </w:p>
    <w:p w14:paraId="46565DB5" w14:textId="16C2B06F" w:rsidR="00753626" w:rsidRPr="00C864AA" w:rsidRDefault="00753626" w:rsidP="00896537">
      <w:pPr>
        <w:jc w:val="both"/>
        <w:rPr>
          <w:rFonts w:asciiTheme="majorHAnsi" w:hAnsiTheme="majorHAnsi"/>
          <w:color w:val="365F91" w:themeColor="accent1" w:themeShade="BF"/>
        </w:rPr>
      </w:pPr>
      <w:r w:rsidRPr="00C864AA">
        <w:rPr>
          <w:rFonts w:asciiTheme="majorHAnsi" w:eastAsia="Times New Roman" w:hAnsiTheme="majorHAnsi"/>
          <w:b/>
          <w:color w:val="365F91" w:themeColor="accent1" w:themeShade="BF"/>
        </w:rPr>
        <w:t xml:space="preserve">Christiane </w:t>
      </w:r>
      <w:proofErr w:type="spellStart"/>
      <w:r w:rsidRPr="00C864AA">
        <w:rPr>
          <w:rFonts w:asciiTheme="majorHAnsi" w:eastAsia="Times New Roman" w:hAnsiTheme="majorHAnsi"/>
          <w:b/>
          <w:color w:val="365F91" w:themeColor="accent1" w:themeShade="BF"/>
        </w:rPr>
        <w:t>Demeulenaere-Douyère</w:t>
      </w:r>
      <w:proofErr w:type="spellEnd"/>
      <w:r w:rsidRPr="00C864AA">
        <w:rPr>
          <w:rFonts w:asciiTheme="majorHAnsi" w:eastAsia="Times New Roman" w:hAnsiTheme="majorHAnsi"/>
          <w:b/>
          <w:color w:val="365F91" w:themeColor="accent1" w:themeShade="BF"/>
        </w:rPr>
        <w:t xml:space="preserve"> </w:t>
      </w:r>
      <w:r w:rsidR="00ED3FB0">
        <w:rPr>
          <w:rFonts w:asciiTheme="majorHAnsi" w:eastAsia="Times New Roman" w:hAnsiTheme="majorHAnsi"/>
          <w:color w:val="365F91" w:themeColor="accent1" w:themeShade="BF"/>
        </w:rPr>
        <w:t xml:space="preserve">(Centre A. Koyré), </w:t>
      </w:r>
      <w:r w:rsidRPr="00C864AA">
        <w:rPr>
          <w:rFonts w:asciiTheme="majorHAnsi" w:hAnsiTheme="majorHAnsi"/>
          <w:color w:val="365F91" w:themeColor="accent1" w:themeShade="BF"/>
        </w:rPr>
        <w:t xml:space="preserve">« François </w:t>
      </w:r>
      <w:proofErr w:type="spellStart"/>
      <w:r w:rsidRPr="00C864AA">
        <w:rPr>
          <w:rFonts w:asciiTheme="majorHAnsi" w:hAnsiTheme="majorHAnsi"/>
          <w:color w:val="365F91" w:themeColor="accent1" w:themeShade="BF"/>
        </w:rPr>
        <w:t>Cointeraux</w:t>
      </w:r>
      <w:proofErr w:type="spellEnd"/>
      <w:r w:rsidRPr="00C864AA">
        <w:rPr>
          <w:rFonts w:asciiTheme="majorHAnsi" w:hAnsiTheme="majorHAnsi"/>
          <w:color w:val="365F91" w:themeColor="accent1" w:themeShade="BF"/>
        </w:rPr>
        <w:t>, professeur d'</w:t>
      </w:r>
      <w:proofErr w:type="spellStart"/>
      <w:r w:rsidRPr="00C864AA">
        <w:rPr>
          <w:rFonts w:asciiTheme="majorHAnsi" w:hAnsiTheme="majorHAnsi"/>
          <w:color w:val="365F91" w:themeColor="accent1" w:themeShade="BF"/>
        </w:rPr>
        <w:t>agritectu</w:t>
      </w:r>
      <w:r w:rsidR="00ED3FB0">
        <w:rPr>
          <w:rFonts w:asciiTheme="majorHAnsi" w:hAnsiTheme="majorHAnsi"/>
          <w:color w:val="365F91" w:themeColor="accent1" w:themeShade="BF"/>
        </w:rPr>
        <w:t>re</w:t>
      </w:r>
      <w:proofErr w:type="spellEnd"/>
      <w:r w:rsidR="00ED3FB0">
        <w:rPr>
          <w:rFonts w:asciiTheme="majorHAnsi" w:hAnsiTheme="majorHAnsi"/>
          <w:color w:val="365F91" w:themeColor="accent1" w:themeShade="BF"/>
        </w:rPr>
        <w:t xml:space="preserve"> : la pédagogie des modèles »</w:t>
      </w:r>
    </w:p>
    <w:p w14:paraId="7A55CDD4" w14:textId="77777777" w:rsidR="00753626" w:rsidRPr="00C864AA" w:rsidRDefault="00896537" w:rsidP="00896537">
      <w:pPr>
        <w:jc w:val="both"/>
        <w:rPr>
          <w:rFonts w:asciiTheme="majorHAnsi" w:hAnsiTheme="majorHAnsi"/>
          <w:color w:val="365F91" w:themeColor="accent1" w:themeShade="BF"/>
        </w:rPr>
      </w:pPr>
      <w:r w:rsidRPr="00C864AA">
        <w:rPr>
          <w:rFonts w:asciiTheme="majorHAnsi" w:eastAsia="Times New Roman" w:hAnsiTheme="majorHAnsi"/>
          <w:b/>
          <w:color w:val="365F91" w:themeColor="accent1" w:themeShade="BF"/>
        </w:rPr>
        <w:t xml:space="preserve">Isabelle </w:t>
      </w:r>
      <w:proofErr w:type="spellStart"/>
      <w:r w:rsidRPr="00C864AA">
        <w:rPr>
          <w:rFonts w:asciiTheme="majorHAnsi" w:eastAsia="Times New Roman" w:hAnsiTheme="majorHAnsi"/>
          <w:b/>
          <w:color w:val="365F91" w:themeColor="accent1" w:themeShade="BF"/>
        </w:rPr>
        <w:t>Warmoes</w:t>
      </w:r>
      <w:proofErr w:type="spellEnd"/>
      <w:r w:rsidRPr="00C864AA">
        <w:rPr>
          <w:rFonts w:asciiTheme="majorHAnsi" w:eastAsia="Times New Roman" w:hAnsiTheme="majorHAnsi"/>
          <w:color w:val="365F91" w:themeColor="accent1" w:themeShade="BF"/>
        </w:rPr>
        <w:t xml:space="preserve"> (Musée des Plans-reliefs),</w:t>
      </w:r>
      <w:r w:rsidRPr="00C864AA">
        <w:rPr>
          <w:rFonts w:asciiTheme="majorHAnsi" w:eastAsia="Times New Roman" w:hAnsiTheme="majorHAnsi"/>
          <w:b/>
          <w:color w:val="365F91" w:themeColor="accent1" w:themeShade="BF"/>
        </w:rPr>
        <w:t xml:space="preserve"> </w:t>
      </w:r>
      <w:r w:rsidRPr="00C864AA">
        <w:rPr>
          <w:rFonts w:asciiTheme="majorHAnsi" w:hAnsiTheme="majorHAnsi"/>
          <w:color w:val="365F91" w:themeColor="accent1" w:themeShade="BF"/>
        </w:rPr>
        <w:t>« </w:t>
      </w:r>
      <w:r w:rsidRPr="00C864AA">
        <w:rPr>
          <w:rFonts w:asciiTheme="majorHAnsi" w:eastAsia="Times New Roman" w:hAnsiTheme="majorHAnsi"/>
          <w:color w:val="365F91" w:themeColor="accent1" w:themeShade="BF"/>
        </w:rPr>
        <w:t>La numérisation 3D des plans-reliefs : état de la question</w:t>
      </w:r>
      <w:r w:rsidRPr="00C864AA">
        <w:rPr>
          <w:rFonts w:asciiTheme="majorHAnsi" w:hAnsiTheme="majorHAnsi"/>
          <w:color w:val="365F91" w:themeColor="accent1" w:themeShade="BF"/>
        </w:rPr>
        <w:t>»</w:t>
      </w:r>
      <w:r w:rsidRPr="00C864AA">
        <w:rPr>
          <w:rFonts w:asciiTheme="majorHAnsi" w:eastAsia="Times New Roman" w:hAnsiTheme="majorHAnsi"/>
          <w:color w:val="365F91" w:themeColor="accent1" w:themeShade="BF"/>
        </w:rPr>
        <w:t>,</w:t>
      </w:r>
    </w:p>
    <w:p w14:paraId="48C63F7E" w14:textId="77777777" w:rsidR="00896537" w:rsidRPr="00C864AA" w:rsidRDefault="00896537" w:rsidP="00896537">
      <w:pPr>
        <w:jc w:val="both"/>
        <w:rPr>
          <w:rFonts w:asciiTheme="majorHAnsi" w:eastAsia="Times New Roman" w:hAnsiTheme="majorHAnsi"/>
          <w:color w:val="365F91" w:themeColor="accent1" w:themeShade="BF"/>
        </w:rPr>
      </w:pPr>
      <w:r w:rsidRPr="00C864AA">
        <w:rPr>
          <w:rFonts w:asciiTheme="majorHAnsi" w:eastAsia="Times New Roman" w:hAnsiTheme="majorHAnsi"/>
          <w:b/>
          <w:bCs/>
          <w:color w:val="365F91" w:themeColor="accent1" w:themeShade="BF"/>
        </w:rPr>
        <w:t>Jean-François Bernard</w:t>
      </w:r>
      <w:r w:rsidRPr="00C864AA">
        <w:rPr>
          <w:rFonts w:asciiTheme="majorHAnsi" w:eastAsia="Times New Roman" w:hAnsiTheme="majorHAnsi"/>
          <w:color w:val="365F91" w:themeColor="accent1" w:themeShade="BF"/>
        </w:rPr>
        <w:t xml:space="preserve"> (</w:t>
      </w:r>
      <w:proofErr w:type="spellStart"/>
      <w:r w:rsidRPr="00C864AA">
        <w:rPr>
          <w:rFonts w:asciiTheme="majorHAnsi" w:eastAsia="Times New Roman" w:hAnsiTheme="majorHAnsi"/>
          <w:color w:val="365F91" w:themeColor="accent1" w:themeShade="BF"/>
        </w:rPr>
        <w:t>Archeovision</w:t>
      </w:r>
      <w:proofErr w:type="spellEnd"/>
      <w:r w:rsidRPr="00C864AA">
        <w:rPr>
          <w:rFonts w:asciiTheme="majorHAnsi" w:eastAsia="Times New Roman" w:hAnsiTheme="majorHAnsi"/>
          <w:color w:val="365F91" w:themeColor="accent1" w:themeShade="BF"/>
        </w:rPr>
        <w:t>-Université de Bordeaux)</w:t>
      </w:r>
      <w:r w:rsidRPr="00C864AA">
        <w:rPr>
          <w:rFonts w:asciiTheme="majorHAnsi" w:hAnsiTheme="majorHAnsi"/>
          <w:color w:val="365F91" w:themeColor="accent1" w:themeShade="BF"/>
        </w:rPr>
        <w:t xml:space="preserve"> « </w:t>
      </w:r>
      <w:r w:rsidRPr="00C864AA">
        <w:rPr>
          <w:rFonts w:asciiTheme="majorHAnsi" w:eastAsia="Times New Roman" w:hAnsiTheme="majorHAnsi"/>
          <w:color w:val="365F91" w:themeColor="accent1" w:themeShade="BF"/>
        </w:rPr>
        <w:t>maquette numérique et recherche SHS, le cas de l'imagerie  archéologique</w:t>
      </w:r>
      <w:r w:rsidRPr="00C864AA">
        <w:rPr>
          <w:rFonts w:asciiTheme="majorHAnsi" w:hAnsiTheme="majorHAnsi"/>
          <w:color w:val="365F91" w:themeColor="accent1" w:themeShade="BF"/>
        </w:rPr>
        <w:t>»</w:t>
      </w:r>
    </w:p>
    <w:p w14:paraId="2BDFC6FC" w14:textId="77777777" w:rsidR="00C864AA" w:rsidRPr="00C864AA" w:rsidRDefault="00C864AA" w:rsidP="00C864AA">
      <w:pPr>
        <w:spacing w:before="100" w:beforeAutospacing="1" w:after="100" w:afterAutospacing="1"/>
        <w:rPr>
          <w:rFonts w:ascii="Times" w:eastAsiaTheme="minorEastAsia" w:hAnsi="Times"/>
          <w:color w:val="365F91" w:themeColor="accent1" w:themeShade="BF"/>
          <w:sz w:val="20"/>
          <w:szCs w:val="20"/>
        </w:rPr>
      </w:pPr>
      <w:r w:rsidRPr="00C864AA">
        <w:rPr>
          <w:rFonts w:ascii="Times" w:eastAsiaTheme="minorEastAsia" w:hAnsi="Times"/>
          <w:color w:val="365F91" w:themeColor="accent1" w:themeShade="BF"/>
          <w:sz w:val="20"/>
          <w:szCs w:val="20"/>
        </w:rPr>
        <w:t xml:space="preserve">Contacts: </w:t>
      </w:r>
      <w:r w:rsidRPr="00C864AA">
        <w:rPr>
          <w:rFonts w:ascii="Times" w:eastAsiaTheme="minorEastAsia" w:hAnsi="Times"/>
          <w:color w:val="365F91" w:themeColor="accent1" w:themeShade="BF"/>
          <w:sz w:val="20"/>
          <w:szCs w:val="20"/>
          <w:u w:val="single"/>
        </w:rPr>
        <w:t>marie.thebaud-sorger@cnrs.fr</w:t>
      </w:r>
      <w:r w:rsidRPr="00C864AA">
        <w:rPr>
          <w:rFonts w:ascii="Times" w:eastAsiaTheme="minorEastAsia" w:hAnsi="Times"/>
          <w:color w:val="365F91" w:themeColor="accent1" w:themeShade="BF"/>
          <w:sz w:val="20"/>
          <w:szCs w:val="20"/>
        </w:rPr>
        <w:t xml:space="preserve">    </w:t>
      </w:r>
      <w:hyperlink r:id="rId5" w:history="1">
        <w:r w:rsidRPr="00C864AA">
          <w:rPr>
            <w:rFonts w:ascii="Times" w:eastAsiaTheme="minorEastAsia" w:hAnsi="Times"/>
            <w:color w:val="365F91" w:themeColor="accent1" w:themeShade="BF"/>
            <w:sz w:val="20"/>
            <w:szCs w:val="20"/>
            <w:u w:val="single"/>
          </w:rPr>
          <w:t>valerie-negre@wanadoo.fr</w:t>
        </w:r>
      </w:hyperlink>
    </w:p>
    <w:p w14:paraId="42E1864A" w14:textId="77777777" w:rsidR="00C864AA" w:rsidRPr="00C864AA" w:rsidRDefault="00C864AA" w:rsidP="00C864AA">
      <w:pPr>
        <w:spacing w:before="100" w:beforeAutospacing="1" w:after="100" w:afterAutospacing="1"/>
        <w:jc w:val="center"/>
        <w:rPr>
          <w:rFonts w:ascii="Times" w:eastAsiaTheme="minorEastAsia" w:hAnsi="Times"/>
          <w:color w:val="365F91" w:themeColor="accent1" w:themeShade="BF"/>
          <w:sz w:val="20"/>
          <w:szCs w:val="20"/>
        </w:rPr>
      </w:pPr>
      <w:proofErr w:type="gramStart"/>
      <w:r w:rsidRPr="00C864AA">
        <w:rPr>
          <w:rFonts w:asciiTheme="majorHAnsi" w:eastAsiaTheme="minorEastAsia" w:hAnsiTheme="majorHAnsi"/>
          <w:color w:val="365F91" w:themeColor="accent1" w:themeShade="BF"/>
          <w:sz w:val="20"/>
          <w:szCs w:val="20"/>
        </w:rPr>
        <w:t>rappel</w:t>
      </w:r>
      <w:proofErr w:type="gramEnd"/>
      <w:r w:rsidRPr="00C864AA">
        <w:rPr>
          <w:rFonts w:asciiTheme="majorHAnsi" w:eastAsiaTheme="minorEastAsia" w:hAnsiTheme="majorHAnsi"/>
          <w:color w:val="365F91" w:themeColor="accent1" w:themeShade="BF"/>
          <w:sz w:val="20"/>
          <w:szCs w:val="20"/>
        </w:rPr>
        <w:t xml:space="preserve"> objectifs de l'Ateliers Campus-Condorcet</w:t>
      </w:r>
    </w:p>
    <w:p w14:paraId="60E9AF6E" w14:textId="77777777" w:rsidR="00C864AA" w:rsidRPr="00C864AA" w:rsidRDefault="00C864AA" w:rsidP="00C864AA">
      <w:pPr>
        <w:spacing w:before="100" w:beforeAutospacing="1" w:after="100" w:afterAutospacing="1"/>
        <w:jc w:val="center"/>
        <w:rPr>
          <w:rFonts w:ascii="Times" w:eastAsiaTheme="minorEastAsia" w:hAnsi="Times"/>
          <w:color w:val="365F91" w:themeColor="accent1" w:themeShade="BF"/>
          <w:sz w:val="20"/>
          <w:szCs w:val="20"/>
        </w:rPr>
      </w:pPr>
      <w:r w:rsidRPr="00C864AA">
        <w:rPr>
          <w:rFonts w:asciiTheme="majorHAnsi" w:eastAsiaTheme="minorEastAsia" w:hAnsiTheme="majorHAnsi"/>
          <w:color w:val="365F91" w:themeColor="accent1" w:themeShade="BF"/>
          <w:sz w:val="20"/>
          <w:szCs w:val="20"/>
        </w:rPr>
        <w:t>La reconstitution - processus heuristique et/ou objet de médiation ? </w:t>
      </w:r>
    </w:p>
    <w:p w14:paraId="7FFBF409" w14:textId="77777777" w:rsidR="00C864AA" w:rsidRPr="00C864AA" w:rsidRDefault="00C864AA" w:rsidP="00C864AA">
      <w:pPr>
        <w:spacing w:before="100" w:beforeAutospacing="1" w:after="100" w:afterAutospacing="1"/>
        <w:jc w:val="both"/>
        <w:rPr>
          <w:rFonts w:ascii="Times" w:eastAsiaTheme="minorEastAsia" w:hAnsi="Times"/>
          <w:color w:val="365F91" w:themeColor="accent1" w:themeShade="BF"/>
          <w:sz w:val="20"/>
          <w:szCs w:val="20"/>
        </w:rPr>
      </w:pPr>
      <w:r w:rsidRPr="00C864AA">
        <w:rPr>
          <w:rFonts w:asciiTheme="majorHAnsi" w:eastAsiaTheme="minorEastAsia" w:hAnsiTheme="majorHAnsi"/>
          <w:color w:val="365F91" w:themeColor="accent1" w:themeShade="BF"/>
          <w:sz w:val="22"/>
          <w:szCs w:val="22"/>
        </w:rPr>
        <w:t>Centre Alexandre Koyré (CNRS-EHESS-MNHN), CRAL(CNRS-EHESS), ILJ-CEDRIC (</w:t>
      </w:r>
      <w:proofErr w:type="spellStart"/>
      <w:r w:rsidRPr="00C864AA">
        <w:rPr>
          <w:rFonts w:asciiTheme="majorHAnsi" w:eastAsiaTheme="minorEastAsia" w:hAnsiTheme="majorHAnsi"/>
          <w:color w:val="365F91" w:themeColor="accent1" w:themeShade="BF"/>
          <w:sz w:val="22"/>
          <w:szCs w:val="22"/>
        </w:rPr>
        <w:t>Cnam</w:t>
      </w:r>
      <w:proofErr w:type="spellEnd"/>
      <w:r w:rsidRPr="00C864AA">
        <w:rPr>
          <w:rFonts w:asciiTheme="majorHAnsi" w:eastAsiaTheme="minorEastAsia" w:hAnsiTheme="majorHAnsi"/>
          <w:color w:val="365F91" w:themeColor="accent1" w:themeShade="BF"/>
          <w:sz w:val="22"/>
          <w:szCs w:val="22"/>
        </w:rPr>
        <w:t>), CTHS (Ecole Nationale des Chartes), CEMS (CNRS-EHESS), IDHES (Université d’Evry-Val d’Essonne &amp; Université de Paris 8), IRCAV(</w:t>
      </w:r>
      <w:r w:rsidRPr="00C864AA">
        <w:rPr>
          <w:rFonts w:asciiTheme="majorHAnsi" w:eastAsiaTheme="minorEastAsia" w:hAnsiTheme="majorHAnsi" w:cs="Arial"/>
          <w:color w:val="365F91" w:themeColor="accent1" w:themeShade="BF"/>
          <w:sz w:val="22"/>
          <w:szCs w:val="22"/>
        </w:rPr>
        <w:t>Université Sorbonne Nouvelle - Paris 3), Musée des arts et métiers,</w:t>
      </w:r>
      <w:r w:rsidRPr="00C864AA">
        <w:rPr>
          <w:rFonts w:asciiTheme="majorHAnsi" w:eastAsiaTheme="minorEastAsia" w:hAnsiTheme="majorHAnsi"/>
          <w:color w:val="365F91" w:themeColor="accent1" w:themeShade="BF"/>
          <w:sz w:val="22"/>
          <w:szCs w:val="22"/>
        </w:rPr>
        <w:t xml:space="preserve"> SAPRAT (EPHE), SPHERE (CNRS-Paris7), Direction générale des patrimoines (DGP/DPRPS).</w:t>
      </w:r>
    </w:p>
    <w:p w14:paraId="7FCDFEBE" w14:textId="77777777" w:rsidR="00C864AA" w:rsidRPr="00C864AA" w:rsidRDefault="00C864AA" w:rsidP="00C864AA">
      <w:pPr>
        <w:spacing w:before="100" w:beforeAutospacing="1" w:after="100" w:afterAutospacing="1"/>
        <w:jc w:val="both"/>
        <w:rPr>
          <w:rFonts w:ascii="Times" w:eastAsiaTheme="minorEastAsia" w:hAnsi="Times"/>
          <w:color w:val="365F91" w:themeColor="accent1" w:themeShade="BF"/>
          <w:sz w:val="20"/>
          <w:szCs w:val="20"/>
        </w:rPr>
      </w:pPr>
      <w:r w:rsidRPr="00C864AA">
        <w:rPr>
          <w:rFonts w:asciiTheme="majorHAnsi" w:eastAsiaTheme="minorEastAsia" w:hAnsiTheme="majorHAnsi"/>
          <w:bCs/>
          <w:i/>
          <w:color w:val="365F91" w:themeColor="accent1" w:themeShade="BF"/>
          <w:sz w:val="20"/>
          <w:szCs w:val="20"/>
        </w:rPr>
        <w:lastRenderedPageBreak/>
        <w:t xml:space="preserve">Les entreprises de reconstitution ont permis d’appréhender des phénomènes historiques difficilement saisissables par le seul truchement des archives, de restituer et de mettre en situation des gestes, des objets en mouvement, des processus, des événements disparus. L’histoire des techniques s’est particulièrement intéressée à cette démarche sous des formes diverses : maquettes, spectacles, mises en scène, films, que l’apport des outils numériques de la 3D a également enrichis et complétés. Or, ces objets se trouvent au croisement de pratiques assez diverses, tant dans leurs productions que dans leurs usages : alors que la recherche fait de leur élaboration de véritables  processus heuristiques, ils sont aussi produits à des fins de valorisation dans des contextes muséaux ou de médiations plus ‘grand public’. Ainsi la constitution de ces artefacts soulève un certain nombre de questionnements. En partant d’un état des lieux des initiatives et des réalisations en cours dans ce domaine, cet atelier a donc pour objet, d’analyser de manière réflexive les usages de ces processus pour la recherche. </w:t>
      </w:r>
    </w:p>
    <w:p w14:paraId="1CB2BA6F" w14:textId="77777777" w:rsidR="00C864AA" w:rsidRPr="00C864AA" w:rsidRDefault="00C864AA">
      <w:pPr>
        <w:rPr>
          <w:color w:val="365F91" w:themeColor="accent1" w:themeShade="BF"/>
        </w:rPr>
      </w:pPr>
    </w:p>
    <w:p w14:paraId="0FA6EE19" w14:textId="77777777" w:rsidR="00896537" w:rsidRPr="00C864AA" w:rsidRDefault="00896537">
      <w:pPr>
        <w:rPr>
          <w:color w:val="365F91" w:themeColor="accent1" w:themeShade="BF"/>
        </w:rPr>
      </w:pPr>
    </w:p>
    <w:sectPr w:rsidR="00896537" w:rsidRPr="00C864AA" w:rsidSect="00F367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7"/>
    <w:rsid w:val="00123AC9"/>
    <w:rsid w:val="0031081B"/>
    <w:rsid w:val="003C63E8"/>
    <w:rsid w:val="00427E8D"/>
    <w:rsid w:val="00445A38"/>
    <w:rsid w:val="00753626"/>
    <w:rsid w:val="00896537"/>
    <w:rsid w:val="00AC4098"/>
    <w:rsid w:val="00C864AA"/>
    <w:rsid w:val="00ED3FB0"/>
    <w:rsid w:val="00F367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0A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37"/>
    <w:rPr>
      <w:rFonts w:ascii="Times New Roman" w:eastAsiaTheme="minorHAnsi"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864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37"/>
    <w:rPr>
      <w:rFonts w:ascii="Times New Roman" w:eastAsiaTheme="minorHAnsi"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86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3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lerie-negre@wanadoo.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498</Words>
  <Characters>2742</Characters>
  <Application>Microsoft Macintosh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Sorger</dc:creator>
  <cp:keywords/>
  <dc:description/>
  <cp:lastModifiedBy>Marie Sorger</cp:lastModifiedBy>
  <cp:revision>4</cp:revision>
  <cp:lastPrinted>2016-12-09T12:05:00Z</cp:lastPrinted>
  <dcterms:created xsi:type="dcterms:W3CDTF">2016-12-09T12:05:00Z</dcterms:created>
  <dcterms:modified xsi:type="dcterms:W3CDTF">2016-12-13T08:17:00Z</dcterms:modified>
</cp:coreProperties>
</file>