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C70" w:rsidRDefault="00DD6C70" w:rsidP="00F76C0F">
      <w:pPr>
        <w:rPr>
          <w:rFonts w:asciiTheme="majorHAnsi" w:hAnsiTheme="majorHAnsi"/>
          <w:b/>
          <w:color w:val="4F81BD" w:themeColor="accent1"/>
          <w:sz w:val="28"/>
        </w:rPr>
      </w:pPr>
      <w:bookmarkStart w:id="0" w:name="_GoBack"/>
      <w:bookmarkEnd w:id="0"/>
    </w:p>
    <w:p w:rsidR="002E154D" w:rsidRPr="004C03D4" w:rsidRDefault="002E154D" w:rsidP="00DD6C70">
      <w:pPr>
        <w:jc w:val="center"/>
        <w:rPr>
          <w:rFonts w:asciiTheme="majorHAnsi" w:hAnsiTheme="majorHAnsi"/>
          <w:color w:val="4F81BD" w:themeColor="accent1"/>
          <w:sz w:val="32"/>
          <w:szCs w:val="28"/>
          <w:lang w:val="it-IT"/>
        </w:rPr>
      </w:pPr>
      <w:r w:rsidRPr="004C03D4">
        <w:rPr>
          <w:rFonts w:asciiTheme="majorHAnsi" w:hAnsiTheme="majorHAnsi"/>
          <w:b/>
          <w:color w:val="4F81BD" w:themeColor="accent1"/>
          <w:sz w:val="32"/>
          <w:lang w:val="it-IT"/>
        </w:rPr>
        <w:t>A</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r</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c</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h</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i</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t</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e</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c</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t</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u</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r</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e</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 xml:space="preserve"> e</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 xml:space="preserve">t </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t</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e</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c</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h</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n</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i</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q</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u</w:t>
      </w:r>
      <w:r w:rsidR="001E58A6" w:rsidRPr="004C03D4">
        <w:rPr>
          <w:rFonts w:asciiTheme="majorHAnsi" w:hAnsiTheme="majorHAnsi"/>
          <w:b/>
          <w:color w:val="4F81BD" w:themeColor="accent1"/>
          <w:sz w:val="32"/>
          <w:lang w:val="it-IT"/>
        </w:rPr>
        <w:t xml:space="preserve"> </w:t>
      </w:r>
      <w:r w:rsidRPr="004C03D4">
        <w:rPr>
          <w:rFonts w:asciiTheme="majorHAnsi" w:hAnsiTheme="majorHAnsi"/>
          <w:b/>
          <w:color w:val="4F81BD" w:themeColor="accent1"/>
          <w:sz w:val="32"/>
          <w:lang w:val="it-IT"/>
        </w:rPr>
        <w:t>e </w:t>
      </w:r>
    </w:p>
    <w:p w:rsidR="00DD6C70" w:rsidRPr="004C03D4" w:rsidRDefault="00DD6C70" w:rsidP="002E154D">
      <w:pPr>
        <w:rPr>
          <w:rFonts w:asciiTheme="majorHAnsi" w:hAnsiTheme="majorHAnsi"/>
          <w:szCs w:val="28"/>
          <w:lang w:val="it-IT"/>
        </w:rPr>
      </w:pPr>
    </w:p>
    <w:p w:rsidR="00DD6C70" w:rsidRPr="004C03D4" w:rsidRDefault="00DD6C70" w:rsidP="002E154D">
      <w:pPr>
        <w:rPr>
          <w:rFonts w:asciiTheme="majorHAnsi" w:hAnsiTheme="majorHAnsi"/>
          <w:szCs w:val="28"/>
          <w:lang w:val="it-IT"/>
        </w:rPr>
      </w:pPr>
    </w:p>
    <w:p w:rsidR="002E154D" w:rsidRPr="00DD6C70" w:rsidRDefault="002E154D" w:rsidP="00DD6C70">
      <w:pPr>
        <w:jc w:val="center"/>
        <w:rPr>
          <w:rFonts w:asciiTheme="majorHAnsi" w:hAnsiTheme="majorHAnsi"/>
          <w:szCs w:val="28"/>
        </w:rPr>
      </w:pPr>
      <w:r w:rsidRPr="00DD6C70">
        <w:rPr>
          <w:rFonts w:asciiTheme="majorHAnsi" w:hAnsiTheme="majorHAnsi"/>
          <w:szCs w:val="28"/>
        </w:rPr>
        <w:t>Lundi 12 juin 2017</w:t>
      </w:r>
    </w:p>
    <w:p w:rsidR="002E154D" w:rsidRPr="00DD6C70" w:rsidRDefault="002E154D" w:rsidP="00DD6C70">
      <w:pPr>
        <w:jc w:val="center"/>
        <w:rPr>
          <w:rFonts w:asciiTheme="majorHAnsi" w:hAnsiTheme="majorHAnsi"/>
          <w:szCs w:val="28"/>
        </w:rPr>
      </w:pPr>
      <w:r w:rsidRPr="00DD6C70">
        <w:rPr>
          <w:rFonts w:asciiTheme="majorHAnsi" w:hAnsiTheme="majorHAnsi"/>
          <w:szCs w:val="28"/>
        </w:rPr>
        <w:t>Institut national d’histoire de l’art</w:t>
      </w:r>
    </w:p>
    <w:p w:rsidR="002E154D" w:rsidRPr="00DD6C70" w:rsidRDefault="002E154D" w:rsidP="00DD6C70">
      <w:pPr>
        <w:jc w:val="center"/>
        <w:rPr>
          <w:rFonts w:asciiTheme="majorHAnsi" w:hAnsiTheme="majorHAnsi"/>
          <w:szCs w:val="28"/>
        </w:rPr>
      </w:pPr>
      <w:r w:rsidRPr="00DD6C70">
        <w:rPr>
          <w:rFonts w:asciiTheme="majorHAnsi" w:hAnsiTheme="majorHAnsi"/>
          <w:szCs w:val="28"/>
        </w:rPr>
        <w:t>2 rue Vivienne, Paris</w:t>
      </w:r>
    </w:p>
    <w:p w:rsidR="002E154D" w:rsidRPr="00F47B90" w:rsidRDefault="002E154D" w:rsidP="00DD6C70">
      <w:pPr>
        <w:jc w:val="center"/>
        <w:rPr>
          <w:rFonts w:asciiTheme="majorHAnsi" w:hAnsiTheme="majorHAnsi"/>
          <w:szCs w:val="28"/>
        </w:rPr>
      </w:pPr>
      <w:r w:rsidRPr="00F47B90">
        <w:rPr>
          <w:rFonts w:asciiTheme="majorHAnsi" w:hAnsiTheme="majorHAnsi"/>
          <w:szCs w:val="28"/>
        </w:rPr>
        <w:t>Salle</w:t>
      </w:r>
      <w:r w:rsidR="00F47B90" w:rsidRPr="00F47B90">
        <w:rPr>
          <w:rFonts w:asciiTheme="majorHAnsi" w:hAnsiTheme="majorHAnsi"/>
          <w:szCs w:val="28"/>
        </w:rPr>
        <w:t xml:space="preserve"> Vasari</w:t>
      </w:r>
    </w:p>
    <w:p w:rsidR="002E154D" w:rsidRPr="00DD6C70" w:rsidRDefault="002E154D" w:rsidP="00DD6C70">
      <w:pPr>
        <w:spacing w:line="360" w:lineRule="auto"/>
        <w:rPr>
          <w:rFonts w:asciiTheme="majorHAnsi" w:hAnsiTheme="majorHAnsi"/>
          <w:b/>
        </w:rPr>
      </w:pPr>
    </w:p>
    <w:p w:rsidR="002E154D" w:rsidRPr="00DD6C70" w:rsidRDefault="002E154D" w:rsidP="004C03D4">
      <w:pPr>
        <w:widowControl w:val="0"/>
        <w:autoSpaceDE w:val="0"/>
        <w:autoSpaceDN w:val="0"/>
        <w:adjustRightInd w:val="0"/>
        <w:jc w:val="both"/>
        <w:rPr>
          <w:rFonts w:asciiTheme="majorHAnsi" w:hAnsiTheme="majorHAnsi" w:cs="Helvetica"/>
          <w:sz w:val="22"/>
        </w:rPr>
      </w:pPr>
      <w:r w:rsidRPr="00DD6C70">
        <w:rPr>
          <w:rFonts w:asciiTheme="majorHAnsi" w:hAnsiTheme="majorHAnsi"/>
          <w:sz w:val="22"/>
          <w:szCs w:val="28"/>
        </w:rPr>
        <w:t xml:space="preserve">Journée d’études doctorales proposée par </w:t>
      </w:r>
      <w:r w:rsidRPr="00DD6C70">
        <w:rPr>
          <w:rFonts w:asciiTheme="majorHAnsi" w:hAnsiTheme="majorHAnsi" w:cs="Helvetica"/>
          <w:sz w:val="22"/>
        </w:rPr>
        <w:t>Robert Carvais (Centre de théorie et d’analyse du droit) et Valérie Nègre (Ecole nationale supérieure d’architecture Paris La Villette) dans le cadre du séminaire doctoral en Histoire de l’architecture organisé par Anne-Marie Châtelet (Ecole nationale supérieure d’architecture de Strasbourg), Hélène Jannière (Université Rennes-2) et Jean-Baptiste Minnaert (Université Paris-Sorbonne)</w:t>
      </w:r>
    </w:p>
    <w:p w:rsidR="00F76C0F" w:rsidRDefault="00F76C0F" w:rsidP="004C03D4">
      <w:pPr>
        <w:jc w:val="both"/>
        <w:rPr>
          <w:rFonts w:asciiTheme="majorHAnsi" w:hAnsiTheme="majorHAnsi"/>
          <w:sz w:val="28"/>
          <w:szCs w:val="28"/>
        </w:rPr>
      </w:pPr>
    </w:p>
    <w:p w:rsidR="00010CE6" w:rsidRPr="00DD6C70" w:rsidRDefault="00010CE6" w:rsidP="004C03D4">
      <w:pPr>
        <w:jc w:val="both"/>
        <w:rPr>
          <w:rFonts w:asciiTheme="majorHAnsi" w:hAnsiTheme="majorHAnsi"/>
          <w:sz w:val="28"/>
          <w:szCs w:val="28"/>
        </w:rPr>
      </w:pPr>
    </w:p>
    <w:p w:rsidR="00010CE6" w:rsidRPr="00F76C0F" w:rsidRDefault="00DD6C70" w:rsidP="004C03D4">
      <w:pPr>
        <w:jc w:val="both"/>
        <w:rPr>
          <w:rFonts w:asciiTheme="majorHAnsi" w:hAnsiTheme="majorHAnsi"/>
          <w:sz w:val="32"/>
          <w:szCs w:val="28"/>
        </w:rPr>
      </w:pPr>
      <w:r w:rsidRPr="00DD6C70">
        <w:rPr>
          <w:rFonts w:asciiTheme="majorHAnsi" w:hAnsiTheme="majorHAnsi"/>
          <w:noProof/>
          <w:sz w:val="28"/>
          <w:szCs w:val="28"/>
          <w:lang w:eastAsia="fr-FR"/>
        </w:rPr>
        <w:drawing>
          <wp:inline distT="0" distB="0" distL="0" distR="0">
            <wp:extent cx="1572895" cy="382362"/>
            <wp:effectExtent l="25400" t="0" r="1905" b="0"/>
            <wp:docPr id="16" name="Image 1" descr=":Logo.In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Inha.jpg"/>
                    <pic:cNvPicPr>
                      <a:picLocks noChangeAspect="1" noChangeArrowheads="1"/>
                    </pic:cNvPicPr>
                  </pic:nvPicPr>
                  <pic:blipFill>
                    <a:blip r:embed="rId5"/>
                    <a:srcRect/>
                    <a:stretch>
                      <a:fillRect/>
                    </a:stretch>
                  </pic:blipFill>
                  <pic:spPr bwMode="auto">
                    <a:xfrm>
                      <a:off x="0" y="0"/>
                      <a:ext cx="1596460" cy="388090"/>
                    </a:xfrm>
                    <a:prstGeom prst="rect">
                      <a:avLst/>
                    </a:prstGeom>
                    <a:noFill/>
                    <a:ln w="9525">
                      <a:noFill/>
                      <a:miter lim="800000"/>
                      <a:headEnd/>
                      <a:tailEnd/>
                    </a:ln>
                  </pic:spPr>
                </pic:pic>
              </a:graphicData>
            </a:graphic>
          </wp:inline>
        </w:drawing>
      </w:r>
    </w:p>
    <w:p w:rsidR="00010CE6" w:rsidRPr="00DD6C70" w:rsidRDefault="00010CE6" w:rsidP="004C03D4">
      <w:pPr>
        <w:jc w:val="both"/>
        <w:rPr>
          <w:rFonts w:asciiTheme="majorHAnsi" w:hAnsiTheme="majorHAnsi"/>
        </w:rPr>
      </w:pPr>
    </w:p>
    <w:p w:rsidR="002E154D" w:rsidRPr="004C03D4" w:rsidRDefault="002E154D" w:rsidP="004C03D4">
      <w:pPr>
        <w:jc w:val="both"/>
        <w:rPr>
          <w:rFonts w:asciiTheme="majorHAnsi" w:hAnsiTheme="majorHAnsi"/>
          <w:b/>
          <w:color w:val="4F81BD" w:themeColor="accent1"/>
          <w:sz w:val="28"/>
          <w:lang w:val="it-IT"/>
        </w:rPr>
      </w:pPr>
      <w:r w:rsidRPr="004C03D4">
        <w:rPr>
          <w:rFonts w:asciiTheme="majorHAnsi" w:hAnsiTheme="majorHAnsi"/>
          <w:b/>
          <w:color w:val="4F81BD" w:themeColor="accent1"/>
          <w:sz w:val="28"/>
          <w:lang w:val="it-IT"/>
        </w:rPr>
        <w:t xml:space="preserve">P </w:t>
      </w:r>
      <w:r w:rsidR="00F76C0F" w:rsidRPr="004C03D4">
        <w:rPr>
          <w:rFonts w:asciiTheme="majorHAnsi" w:hAnsiTheme="majorHAnsi"/>
          <w:b/>
          <w:color w:val="4F81BD" w:themeColor="accent1"/>
          <w:sz w:val="28"/>
          <w:lang w:val="it-IT"/>
        </w:rPr>
        <w:t xml:space="preserve"> </w:t>
      </w:r>
      <w:r w:rsidRPr="004C03D4">
        <w:rPr>
          <w:rFonts w:asciiTheme="majorHAnsi" w:hAnsiTheme="majorHAnsi"/>
          <w:b/>
          <w:color w:val="4F81BD" w:themeColor="accent1"/>
          <w:sz w:val="28"/>
          <w:lang w:val="it-IT"/>
        </w:rPr>
        <w:t>R</w:t>
      </w:r>
      <w:r w:rsidR="00F76C0F" w:rsidRPr="004C03D4">
        <w:rPr>
          <w:rFonts w:asciiTheme="majorHAnsi" w:hAnsiTheme="majorHAnsi"/>
          <w:b/>
          <w:color w:val="4F81BD" w:themeColor="accent1"/>
          <w:sz w:val="28"/>
          <w:lang w:val="it-IT"/>
        </w:rPr>
        <w:t xml:space="preserve"> </w:t>
      </w:r>
      <w:r w:rsidRPr="004C03D4">
        <w:rPr>
          <w:rFonts w:asciiTheme="majorHAnsi" w:hAnsiTheme="majorHAnsi"/>
          <w:b/>
          <w:color w:val="4F81BD" w:themeColor="accent1"/>
          <w:sz w:val="28"/>
          <w:lang w:val="it-IT"/>
        </w:rPr>
        <w:t xml:space="preserve"> O</w:t>
      </w:r>
      <w:r w:rsidR="00F76C0F" w:rsidRPr="004C03D4">
        <w:rPr>
          <w:rFonts w:asciiTheme="majorHAnsi" w:hAnsiTheme="majorHAnsi"/>
          <w:b/>
          <w:color w:val="4F81BD" w:themeColor="accent1"/>
          <w:sz w:val="28"/>
          <w:lang w:val="it-IT"/>
        </w:rPr>
        <w:t xml:space="preserve"> </w:t>
      </w:r>
      <w:r w:rsidRPr="004C03D4">
        <w:rPr>
          <w:rFonts w:asciiTheme="majorHAnsi" w:hAnsiTheme="majorHAnsi"/>
          <w:b/>
          <w:color w:val="4F81BD" w:themeColor="accent1"/>
          <w:sz w:val="28"/>
          <w:lang w:val="it-IT"/>
        </w:rPr>
        <w:t xml:space="preserve"> G</w:t>
      </w:r>
      <w:r w:rsidR="00F76C0F" w:rsidRPr="004C03D4">
        <w:rPr>
          <w:rFonts w:asciiTheme="majorHAnsi" w:hAnsiTheme="majorHAnsi"/>
          <w:b/>
          <w:color w:val="4F81BD" w:themeColor="accent1"/>
          <w:sz w:val="28"/>
          <w:lang w:val="it-IT"/>
        </w:rPr>
        <w:t xml:space="preserve"> </w:t>
      </w:r>
      <w:r w:rsidRPr="004C03D4">
        <w:rPr>
          <w:rFonts w:asciiTheme="majorHAnsi" w:hAnsiTheme="majorHAnsi"/>
          <w:b/>
          <w:color w:val="4F81BD" w:themeColor="accent1"/>
          <w:sz w:val="28"/>
          <w:lang w:val="it-IT"/>
        </w:rPr>
        <w:t xml:space="preserve"> R</w:t>
      </w:r>
      <w:r w:rsidR="00F76C0F" w:rsidRPr="004C03D4">
        <w:rPr>
          <w:rFonts w:asciiTheme="majorHAnsi" w:hAnsiTheme="majorHAnsi"/>
          <w:b/>
          <w:color w:val="4F81BD" w:themeColor="accent1"/>
          <w:sz w:val="28"/>
          <w:lang w:val="it-IT"/>
        </w:rPr>
        <w:t xml:space="preserve"> </w:t>
      </w:r>
      <w:r w:rsidRPr="004C03D4">
        <w:rPr>
          <w:rFonts w:asciiTheme="majorHAnsi" w:hAnsiTheme="majorHAnsi"/>
          <w:b/>
          <w:color w:val="4F81BD" w:themeColor="accent1"/>
          <w:sz w:val="28"/>
          <w:lang w:val="it-IT"/>
        </w:rPr>
        <w:t xml:space="preserve"> A</w:t>
      </w:r>
      <w:r w:rsidR="00F76C0F" w:rsidRPr="004C03D4">
        <w:rPr>
          <w:rFonts w:asciiTheme="majorHAnsi" w:hAnsiTheme="majorHAnsi"/>
          <w:b/>
          <w:color w:val="4F81BD" w:themeColor="accent1"/>
          <w:sz w:val="28"/>
          <w:lang w:val="it-IT"/>
        </w:rPr>
        <w:t xml:space="preserve"> </w:t>
      </w:r>
      <w:r w:rsidRPr="004C03D4">
        <w:rPr>
          <w:rFonts w:asciiTheme="majorHAnsi" w:hAnsiTheme="majorHAnsi"/>
          <w:b/>
          <w:color w:val="4F81BD" w:themeColor="accent1"/>
          <w:sz w:val="28"/>
          <w:lang w:val="it-IT"/>
        </w:rPr>
        <w:t xml:space="preserve"> M</w:t>
      </w:r>
      <w:r w:rsidR="00F76C0F" w:rsidRPr="004C03D4">
        <w:rPr>
          <w:rFonts w:asciiTheme="majorHAnsi" w:hAnsiTheme="majorHAnsi"/>
          <w:b/>
          <w:color w:val="4F81BD" w:themeColor="accent1"/>
          <w:sz w:val="28"/>
          <w:lang w:val="it-IT"/>
        </w:rPr>
        <w:t xml:space="preserve"> </w:t>
      </w:r>
      <w:r w:rsidRPr="004C03D4">
        <w:rPr>
          <w:rFonts w:asciiTheme="majorHAnsi" w:hAnsiTheme="majorHAnsi"/>
          <w:b/>
          <w:color w:val="4F81BD" w:themeColor="accent1"/>
          <w:sz w:val="28"/>
          <w:lang w:val="it-IT"/>
        </w:rPr>
        <w:t xml:space="preserve"> M </w:t>
      </w:r>
      <w:r w:rsidR="00F76C0F" w:rsidRPr="004C03D4">
        <w:rPr>
          <w:rFonts w:asciiTheme="majorHAnsi" w:hAnsiTheme="majorHAnsi"/>
          <w:b/>
          <w:color w:val="4F81BD" w:themeColor="accent1"/>
          <w:sz w:val="28"/>
          <w:lang w:val="it-IT"/>
        </w:rPr>
        <w:t xml:space="preserve"> </w:t>
      </w:r>
      <w:r w:rsidRPr="004C03D4">
        <w:rPr>
          <w:rFonts w:asciiTheme="majorHAnsi" w:hAnsiTheme="majorHAnsi"/>
          <w:b/>
          <w:color w:val="4F81BD" w:themeColor="accent1"/>
          <w:sz w:val="28"/>
          <w:lang w:val="it-IT"/>
        </w:rPr>
        <w:t>E</w:t>
      </w:r>
    </w:p>
    <w:p w:rsidR="00010CE6" w:rsidRPr="004C03D4" w:rsidRDefault="00010CE6" w:rsidP="004C03D4">
      <w:pPr>
        <w:jc w:val="both"/>
        <w:rPr>
          <w:rFonts w:asciiTheme="majorHAnsi" w:hAnsiTheme="majorHAnsi"/>
          <w:lang w:val="it-IT"/>
        </w:rPr>
      </w:pPr>
    </w:p>
    <w:p w:rsidR="001E58A6" w:rsidRPr="00DD6C70" w:rsidRDefault="001E58A6" w:rsidP="004C03D4">
      <w:pPr>
        <w:jc w:val="both"/>
        <w:rPr>
          <w:rFonts w:asciiTheme="majorHAnsi" w:hAnsiTheme="majorHAnsi"/>
        </w:rPr>
      </w:pPr>
      <w:r w:rsidRPr="004C03D4">
        <w:rPr>
          <w:rFonts w:asciiTheme="majorHAnsi" w:hAnsiTheme="majorHAnsi"/>
          <w:lang w:val="it-IT"/>
        </w:rPr>
        <w:t xml:space="preserve">9h30. </w:t>
      </w:r>
      <w:r w:rsidRPr="00DD6C70">
        <w:rPr>
          <w:rFonts w:asciiTheme="majorHAnsi" w:hAnsiTheme="majorHAnsi"/>
          <w:i/>
        </w:rPr>
        <w:t>Ouverture</w:t>
      </w:r>
    </w:p>
    <w:p w:rsidR="001E58A6" w:rsidRPr="00DD6C70" w:rsidRDefault="001E58A6" w:rsidP="004C03D4">
      <w:pPr>
        <w:jc w:val="both"/>
        <w:rPr>
          <w:rFonts w:asciiTheme="majorHAnsi" w:hAnsiTheme="majorHAnsi"/>
        </w:rPr>
      </w:pPr>
      <w:r w:rsidRPr="00DD6C70">
        <w:rPr>
          <w:rFonts w:asciiTheme="majorHAnsi" w:hAnsiTheme="majorHAnsi"/>
        </w:rPr>
        <w:t>Anne-Marie Châtelet, Hélène Jannière, Jean-Baptiste Minnaert</w:t>
      </w:r>
    </w:p>
    <w:p w:rsidR="001E58A6" w:rsidRPr="00DD6C70" w:rsidRDefault="001E58A6" w:rsidP="004C03D4">
      <w:pPr>
        <w:jc w:val="both"/>
        <w:rPr>
          <w:rFonts w:asciiTheme="majorHAnsi" w:hAnsiTheme="majorHAnsi"/>
        </w:rPr>
      </w:pPr>
    </w:p>
    <w:p w:rsidR="00010CE6" w:rsidRPr="00DD6C70" w:rsidRDefault="001E58A6" w:rsidP="004C03D4">
      <w:pPr>
        <w:jc w:val="both"/>
        <w:rPr>
          <w:rFonts w:asciiTheme="majorHAnsi" w:hAnsiTheme="majorHAnsi"/>
        </w:rPr>
      </w:pPr>
      <w:r w:rsidRPr="00DD6C70">
        <w:rPr>
          <w:rFonts w:asciiTheme="majorHAnsi" w:hAnsiTheme="majorHAnsi"/>
        </w:rPr>
        <w:t>9h45.</w:t>
      </w:r>
      <w:r w:rsidR="002E154D" w:rsidRPr="00DD6C70">
        <w:rPr>
          <w:rFonts w:asciiTheme="majorHAnsi" w:hAnsiTheme="majorHAnsi"/>
        </w:rPr>
        <w:t xml:space="preserve"> </w:t>
      </w:r>
      <w:r w:rsidR="00010CE6" w:rsidRPr="00DD6C70">
        <w:rPr>
          <w:rFonts w:asciiTheme="majorHAnsi" w:hAnsiTheme="majorHAnsi"/>
          <w:i/>
        </w:rPr>
        <w:t>Introduction</w:t>
      </w:r>
    </w:p>
    <w:p w:rsidR="00010CE6" w:rsidRPr="00DD6C70" w:rsidRDefault="00010CE6" w:rsidP="004C03D4">
      <w:pPr>
        <w:jc w:val="both"/>
        <w:rPr>
          <w:rFonts w:asciiTheme="majorHAnsi" w:hAnsiTheme="majorHAnsi"/>
        </w:rPr>
      </w:pPr>
      <w:r w:rsidRPr="00DD6C70">
        <w:rPr>
          <w:rFonts w:asciiTheme="majorHAnsi" w:hAnsiTheme="majorHAnsi"/>
        </w:rPr>
        <w:t>Robert Carvais et Valérie Nègre</w:t>
      </w:r>
    </w:p>
    <w:p w:rsidR="00010CE6" w:rsidRPr="00DD6C70" w:rsidRDefault="00010CE6" w:rsidP="004C03D4">
      <w:pPr>
        <w:jc w:val="both"/>
        <w:rPr>
          <w:rFonts w:asciiTheme="majorHAnsi" w:hAnsiTheme="majorHAnsi"/>
        </w:rPr>
      </w:pPr>
    </w:p>
    <w:p w:rsidR="00B40F3C" w:rsidRPr="009B1AE1" w:rsidRDefault="002E154D" w:rsidP="004C03D4">
      <w:pPr>
        <w:pStyle w:val="Default"/>
        <w:jc w:val="both"/>
        <w:rPr>
          <w:rFonts w:asciiTheme="majorHAnsi" w:hAnsiTheme="majorHAnsi"/>
          <w:b/>
          <w:bCs/>
          <w:color w:val="auto"/>
          <w:szCs w:val="23"/>
        </w:rPr>
      </w:pPr>
      <w:r w:rsidRPr="009B1AE1">
        <w:rPr>
          <w:rFonts w:asciiTheme="majorHAnsi" w:hAnsiTheme="majorHAnsi" w:cs="Helvetica"/>
          <w:color w:val="auto"/>
        </w:rPr>
        <w:t>10h</w:t>
      </w:r>
      <w:r w:rsidR="00B40F3C" w:rsidRPr="009B1AE1">
        <w:rPr>
          <w:rFonts w:asciiTheme="majorHAnsi" w:hAnsiTheme="majorHAnsi" w:cs="Helvetica"/>
          <w:color w:val="auto"/>
        </w:rPr>
        <w:t>15.</w:t>
      </w:r>
      <w:r w:rsidRPr="009B1AE1">
        <w:rPr>
          <w:rFonts w:asciiTheme="majorHAnsi" w:hAnsiTheme="majorHAnsi" w:cs="Helvetica"/>
          <w:color w:val="auto"/>
        </w:rPr>
        <w:t xml:space="preserve"> </w:t>
      </w:r>
      <w:r w:rsidR="00B40F3C" w:rsidRPr="009B1AE1">
        <w:rPr>
          <w:rFonts w:asciiTheme="majorHAnsi" w:hAnsiTheme="majorHAnsi"/>
          <w:bCs/>
          <w:i/>
          <w:color w:val="auto"/>
          <w:szCs w:val="23"/>
        </w:rPr>
        <w:t>L’emploi des pinces de levage dans le bassin de la Meuse Moyenne du XV</w:t>
      </w:r>
      <w:r w:rsidR="00B40F3C" w:rsidRPr="009B1AE1">
        <w:rPr>
          <w:rFonts w:asciiTheme="majorHAnsi" w:hAnsiTheme="majorHAnsi"/>
          <w:bCs/>
          <w:i/>
          <w:color w:val="auto"/>
          <w:szCs w:val="23"/>
          <w:vertAlign w:val="superscript"/>
        </w:rPr>
        <w:t>e</w:t>
      </w:r>
      <w:r w:rsidR="00B40F3C" w:rsidRPr="009B1AE1">
        <w:rPr>
          <w:rFonts w:asciiTheme="majorHAnsi" w:hAnsiTheme="majorHAnsi"/>
          <w:bCs/>
          <w:i/>
          <w:color w:val="auto"/>
          <w:szCs w:val="23"/>
        </w:rPr>
        <w:t xml:space="preserve"> au XVIII</w:t>
      </w:r>
      <w:r w:rsidR="00B40F3C" w:rsidRPr="009B1AE1">
        <w:rPr>
          <w:rFonts w:asciiTheme="majorHAnsi" w:hAnsiTheme="majorHAnsi"/>
          <w:bCs/>
          <w:i/>
          <w:color w:val="auto"/>
          <w:szCs w:val="23"/>
          <w:vertAlign w:val="superscript"/>
        </w:rPr>
        <w:t>e</w:t>
      </w:r>
      <w:r w:rsidR="00B40F3C" w:rsidRPr="009B1AE1">
        <w:rPr>
          <w:rFonts w:asciiTheme="majorHAnsi" w:hAnsiTheme="majorHAnsi"/>
          <w:bCs/>
          <w:i/>
          <w:color w:val="auto"/>
          <w:szCs w:val="23"/>
        </w:rPr>
        <w:t xml:space="preserve"> siècle</w:t>
      </w:r>
    </w:p>
    <w:p w:rsidR="00B40F3C" w:rsidRPr="009B1AE1" w:rsidRDefault="00B40F3C" w:rsidP="004C03D4">
      <w:pPr>
        <w:pStyle w:val="Default"/>
        <w:jc w:val="both"/>
        <w:rPr>
          <w:rFonts w:asciiTheme="majorHAnsi" w:hAnsiTheme="majorHAnsi"/>
          <w:color w:val="auto"/>
        </w:rPr>
      </w:pPr>
      <w:r w:rsidRPr="009B1AE1">
        <w:rPr>
          <w:rFonts w:asciiTheme="majorHAnsi" w:hAnsiTheme="majorHAnsi"/>
          <w:color w:val="auto"/>
        </w:rPr>
        <w:t>Antoine Baudry</w:t>
      </w:r>
      <w:r w:rsidR="004C03D4" w:rsidRPr="009B1AE1">
        <w:rPr>
          <w:rFonts w:asciiTheme="majorHAnsi" w:hAnsiTheme="majorHAnsi"/>
          <w:color w:val="auto"/>
        </w:rPr>
        <w:t xml:space="preserve">, </w:t>
      </w:r>
      <w:r w:rsidR="007B45A4" w:rsidRPr="009B1AE1">
        <w:rPr>
          <w:rFonts w:asciiTheme="majorHAnsi" w:hAnsiTheme="majorHAnsi"/>
          <w:color w:val="auto"/>
        </w:rPr>
        <w:t xml:space="preserve">Faculté d’Architecture, </w:t>
      </w:r>
      <w:r w:rsidRPr="009B1AE1">
        <w:rPr>
          <w:rFonts w:asciiTheme="majorHAnsi" w:hAnsiTheme="majorHAnsi"/>
          <w:color w:val="auto"/>
        </w:rPr>
        <w:t>Université de Liège</w:t>
      </w:r>
    </w:p>
    <w:p w:rsidR="00010CE6" w:rsidRPr="009B1AE1" w:rsidRDefault="00010CE6" w:rsidP="004C03D4">
      <w:pPr>
        <w:jc w:val="both"/>
        <w:rPr>
          <w:rFonts w:asciiTheme="majorHAnsi" w:hAnsiTheme="majorHAnsi"/>
        </w:rPr>
      </w:pPr>
    </w:p>
    <w:p w:rsidR="00B40F3C" w:rsidRPr="009B1AE1" w:rsidRDefault="002E154D" w:rsidP="004C03D4">
      <w:pPr>
        <w:jc w:val="both"/>
        <w:rPr>
          <w:rFonts w:asciiTheme="majorHAnsi" w:hAnsiTheme="majorHAnsi"/>
          <w:i/>
        </w:rPr>
      </w:pPr>
      <w:r w:rsidRPr="009B1AE1">
        <w:rPr>
          <w:rFonts w:asciiTheme="majorHAnsi" w:hAnsiTheme="majorHAnsi"/>
        </w:rPr>
        <w:t>10h</w:t>
      </w:r>
      <w:r w:rsidR="001E58A6" w:rsidRPr="009B1AE1">
        <w:rPr>
          <w:rFonts w:asciiTheme="majorHAnsi" w:hAnsiTheme="majorHAnsi"/>
        </w:rPr>
        <w:t>45</w:t>
      </w:r>
      <w:r w:rsidR="00B40F3C" w:rsidRPr="009B1AE1">
        <w:rPr>
          <w:rFonts w:asciiTheme="majorHAnsi" w:hAnsiTheme="majorHAnsi"/>
        </w:rPr>
        <w:t>.</w:t>
      </w:r>
      <w:r w:rsidRPr="009B1AE1">
        <w:rPr>
          <w:rFonts w:asciiTheme="majorHAnsi" w:hAnsiTheme="majorHAnsi"/>
        </w:rPr>
        <w:t xml:space="preserve"> </w:t>
      </w:r>
      <w:r w:rsidR="00B40F3C" w:rsidRPr="009B1AE1">
        <w:rPr>
          <w:rFonts w:asciiTheme="majorHAnsi" w:hAnsiTheme="majorHAnsi"/>
          <w:i/>
        </w:rPr>
        <w:t>Circulation des savoirs et expérimentation des voûtes légère de Naples à Paris entre XVIII</w:t>
      </w:r>
      <w:r w:rsidR="00B40F3C" w:rsidRPr="009B1AE1">
        <w:rPr>
          <w:rFonts w:asciiTheme="majorHAnsi" w:hAnsiTheme="majorHAnsi"/>
          <w:i/>
          <w:vertAlign w:val="superscript"/>
        </w:rPr>
        <w:t>e</w:t>
      </w:r>
      <w:r w:rsidR="00B40F3C" w:rsidRPr="009B1AE1">
        <w:rPr>
          <w:rFonts w:asciiTheme="majorHAnsi" w:hAnsiTheme="majorHAnsi"/>
          <w:i/>
        </w:rPr>
        <w:t xml:space="preserve"> et XIX</w:t>
      </w:r>
      <w:r w:rsidR="00B40F3C" w:rsidRPr="009B1AE1">
        <w:rPr>
          <w:rFonts w:asciiTheme="majorHAnsi" w:hAnsiTheme="majorHAnsi"/>
          <w:i/>
          <w:vertAlign w:val="superscript"/>
        </w:rPr>
        <w:t>e</w:t>
      </w:r>
      <w:r w:rsidR="00B40F3C" w:rsidRPr="009B1AE1">
        <w:rPr>
          <w:rFonts w:asciiTheme="majorHAnsi" w:hAnsiTheme="majorHAnsi"/>
          <w:i/>
        </w:rPr>
        <w:t xml:space="preserve"> siècle</w:t>
      </w:r>
      <w:r w:rsidR="00F47B90" w:rsidRPr="009B1AE1">
        <w:rPr>
          <w:rFonts w:asciiTheme="majorHAnsi" w:hAnsiTheme="majorHAnsi"/>
          <w:i/>
        </w:rPr>
        <w:t>s</w:t>
      </w:r>
    </w:p>
    <w:p w:rsidR="00F47B90" w:rsidRPr="009B1AE1" w:rsidRDefault="00B40F3C" w:rsidP="004C03D4">
      <w:pPr>
        <w:jc w:val="both"/>
        <w:rPr>
          <w:rFonts w:asciiTheme="majorHAnsi" w:hAnsiTheme="majorHAnsi"/>
          <w:lang w:val="it-IT"/>
        </w:rPr>
      </w:pPr>
      <w:r w:rsidRPr="009B1AE1">
        <w:rPr>
          <w:rFonts w:asciiTheme="majorHAnsi" w:hAnsiTheme="majorHAnsi"/>
          <w:lang w:val="it-IT"/>
        </w:rPr>
        <w:t>Lia Romano, Dipartimento di Architettura, Università degli Studi di Napoli Federico II</w:t>
      </w:r>
    </w:p>
    <w:p w:rsidR="00F47B90" w:rsidRPr="009B1AE1" w:rsidRDefault="00F47B90" w:rsidP="004C03D4">
      <w:pPr>
        <w:jc w:val="both"/>
        <w:rPr>
          <w:rFonts w:asciiTheme="majorHAnsi" w:hAnsiTheme="majorHAnsi"/>
          <w:lang w:val="it-IT"/>
        </w:rPr>
      </w:pPr>
    </w:p>
    <w:p w:rsidR="00B40F3C" w:rsidRPr="009B1AE1" w:rsidRDefault="00F47B90" w:rsidP="004C03D4">
      <w:pPr>
        <w:jc w:val="both"/>
        <w:rPr>
          <w:rFonts w:asciiTheme="majorHAnsi" w:hAnsiTheme="majorHAnsi"/>
          <w:b/>
        </w:rPr>
      </w:pPr>
      <w:r w:rsidRPr="009B1AE1">
        <w:rPr>
          <w:rFonts w:asciiTheme="majorHAnsi" w:hAnsiTheme="majorHAnsi"/>
          <w:b/>
        </w:rPr>
        <w:t>Pause</w:t>
      </w:r>
    </w:p>
    <w:p w:rsidR="00010CE6" w:rsidRPr="009B1AE1" w:rsidRDefault="00010CE6" w:rsidP="004C03D4">
      <w:pPr>
        <w:jc w:val="both"/>
        <w:rPr>
          <w:rFonts w:asciiTheme="majorHAnsi" w:hAnsiTheme="majorHAnsi"/>
        </w:rPr>
      </w:pPr>
    </w:p>
    <w:p w:rsidR="00B40F3C" w:rsidRPr="009B1AE1" w:rsidRDefault="002E154D" w:rsidP="004C03D4">
      <w:pPr>
        <w:jc w:val="both"/>
        <w:rPr>
          <w:rFonts w:asciiTheme="majorHAnsi" w:hAnsiTheme="majorHAnsi"/>
          <w:i/>
        </w:rPr>
      </w:pPr>
      <w:r w:rsidRPr="009B1AE1">
        <w:rPr>
          <w:rFonts w:asciiTheme="majorHAnsi" w:hAnsiTheme="majorHAnsi"/>
        </w:rPr>
        <w:t>11h</w:t>
      </w:r>
      <w:r w:rsidR="00F47B90" w:rsidRPr="009B1AE1">
        <w:rPr>
          <w:rFonts w:asciiTheme="majorHAnsi" w:hAnsiTheme="majorHAnsi"/>
        </w:rPr>
        <w:t>30</w:t>
      </w:r>
      <w:r w:rsidR="00B40F3C" w:rsidRPr="009B1AE1">
        <w:rPr>
          <w:rFonts w:asciiTheme="majorHAnsi" w:hAnsiTheme="majorHAnsi"/>
        </w:rPr>
        <w:t>.</w:t>
      </w:r>
      <w:r w:rsidRPr="009B1AE1">
        <w:rPr>
          <w:rFonts w:asciiTheme="majorHAnsi" w:hAnsiTheme="majorHAnsi"/>
        </w:rPr>
        <w:t xml:space="preserve"> </w:t>
      </w:r>
      <w:r w:rsidR="00B40F3C" w:rsidRPr="009B1AE1">
        <w:rPr>
          <w:rFonts w:asciiTheme="majorHAnsi" w:hAnsiTheme="majorHAnsi"/>
          <w:i/>
        </w:rPr>
        <w:t>La réception de la novation technique de la brique en Midi toulousain dans l’Entre-deux-guerres</w:t>
      </w:r>
    </w:p>
    <w:p w:rsidR="00B40F3C" w:rsidRPr="009B1AE1" w:rsidRDefault="00B40F3C" w:rsidP="004C03D4">
      <w:pPr>
        <w:pStyle w:val="Default"/>
        <w:jc w:val="both"/>
        <w:rPr>
          <w:rFonts w:asciiTheme="majorHAnsi" w:hAnsiTheme="majorHAnsi"/>
          <w:color w:val="auto"/>
        </w:rPr>
      </w:pPr>
      <w:r w:rsidRPr="009B1AE1">
        <w:rPr>
          <w:rFonts w:asciiTheme="majorHAnsi" w:hAnsiTheme="majorHAnsi"/>
          <w:color w:val="auto"/>
        </w:rPr>
        <w:t xml:space="preserve">Laura Girard, ENSA </w:t>
      </w:r>
      <w:r w:rsidR="00CB7391" w:rsidRPr="009B1AE1">
        <w:rPr>
          <w:rFonts w:asciiTheme="majorHAnsi" w:hAnsiTheme="majorHAnsi"/>
          <w:color w:val="auto"/>
        </w:rPr>
        <w:t xml:space="preserve">de </w:t>
      </w:r>
      <w:r w:rsidRPr="009B1AE1">
        <w:rPr>
          <w:rFonts w:asciiTheme="majorHAnsi" w:hAnsiTheme="majorHAnsi"/>
          <w:color w:val="auto"/>
        </w:rPr>
        <w:t>Toulouse/Université Jean Jaurès</w:t>
      </w:r>
    </w:p>
    <w:p w:rsidR="00010CE6" w:rsidRPr="009B1AE1" w:rsidRDefault="00010CE6" w:rsidP="004C03D4">
      <w:pPr>
        <w:jc w:val="both"/>
        <w:rPr>
          <w:rFonts w:asciiTheme="majorHAnsi" w:hAnsiTheme="majorHAnsi"/>
        </w:rPr>
      </w:pPr>
    </w:p>
    <w:p w:rsidR="00B40F3C" w:rsidRPr="009B1AE1" w:rsidRDefault="00F47B90" w:rsidP="004C03D4">
      <w:pPr>
        <w:jc w:val="both"/>
        <w:rPr>
          <w:rFonts w:asciiTheme="majorHAnsi" w:hAnsiTheme="majorHAnsi" w:cs="Helvetica"/>
        </w:rPr>
      </w:pPr>
      <w:r w:rsidRPr="009B1AE1">
        <w:rPr>
          <w:rFonts w:asciiTheme="majorHAnsi" w:hAnsiTheme="majorHAnsi"/>
        </w:rPr>
        <w:t>12h</w:t>
      </w:r>
      <w:r w:rsidR="00BA7F07" w:rsidRPr="009B1AE1">
        <w:rPr>
          <w:rFonts w:asciiTheme="majorHAnsi" w:hAnsiTheme="majorHAnsi"/>
        </w:rPr>
        <w:t>.</w:t>
      </w:r>
      <w:r w:rsidR="002E154D" w:rsidRPr="009B1AE1">
        <w:rPr>
          <w:rFonts w:asciiTheme="majorHAnsi" w:hAnsiTheme="majorHAnsi"/>
        </w:rPr>
        <w:t xml:space="preserve"> </w:t>
      </w:r>
      <w:r w:rsidR="00B40F3C" w:rsidRPr="009B1AE1">
        <w:rPr>
          <w:rFonts w:asciiTheme="majorHAnsi" w:hAnsiTheme="majorHAnsi" w:cs="Helvetica"/>
          <w:i/>
        </w:rPr>
        <w:t>L'itinéraire d'une technique entre science, architecture et politique à la fin des Trente Glorieuses : le mur Trombe </w:t>
      </w:r>
      <w:r w:rsidR="00B40F3C" w:rsidRPr="009B1AE1">
        <w:rPr>
          <w:rFonts w:asciiTheme="majorHAnsi" w:hAnsiTheme="majorHAnsi" w:cs="Helvetica"/>
        </w:rPr>
        <w:t xml:space="preserve"> </w:t>
      </w:r>
    </w:p>
    <w:p w:rsidR="00B40F3C" w:rsidRPr="00DD6C70" w:rsidRDefault="00B40F3C" w:rsidP="004C03D4">
      <w:pPr>
        <w:jc w:val="both"/>
        <w:rPr>
          <w:rFonts w:asciiTheme="majorHAnsi" w:hAnsiTheme="majorHAnsi"/>
        </w:rPr>
      </w:pPr>
      <w:r w:rsidRPr="009B1AE1">
        <w:rPr>
          <w:rFonts w:asciiTheme="majorHAnsi" w:hAnsiTheme="majorHAnsi"/>
        </w:rPr>
        <w:t xml:space="preserve">Paul Bouet, ENSA </w:t>
      </w:r>
      <w:r w:rsidR="00CB7391" w:rsidRPr="009B1AE1">
        <w:rPr>
          <w:rFonts w:asciiTheme="majorHAnsi" w:hAnsiTheme="majorHAnsi"/>
        </w:rPr>
        <w:t xml:space="preserve">de </w:t>
      </w:r>
      <w:r w:rsidRPr="009B1AE1">
        <w:rPr>
          <w:rFonts w:asciiTheme="majorHAnsi" w:hAnsiTheme="majorHAnsi"/>
        </w:rPr>
        <w:t>Marne</w:t>
      </w:r>
      <w:r w:rsidRPr="00DD6C70">
        <w:rPr>
          <w:rFonts w:asciiTheme="majorHAnsi" w:hAnsiTheme="majorHAnsi"/>
        </w:rPr>
        <w:t>-la-Vallée / Université Paris-Est</w:t>
      </w:r>
    </w:p>
    <w:p w:rsidR="00B40F3C" w:rsidRPr="00DD6C70" w:rsidRDefault="00B40F3C" w:rsidP="004C03D4">
      <w:pPr>
        <w:jc w:val="both"/>
        <w:rPr>
          <w:rFonts w:asciiTheme="majorHAnsi" w:hAnsiTheme="majorHAnsi"/>
        </w:rPr>
      </w:pPr>
    </w:p>
    <w:p w:rsidR="002E154D" w:rsidRPr="00F76C0F" w:rsidRDefault="002E154D" w:rsidP="004C03D4">
      <w:pPr>
        <w:jc w:val="both"/>
        <w:rPr>
          <w:rFonts w:asciiTheme="majorHAnsi" w:hAnsiTheme="majorHAnsi"/>
          <w:b/>
          <w:color w:val="4F81BD" w:themeColor="accent1"/>
        </w:rPr>
      </w:pPr>
      <w:r w:rsidRPr="00F76C0F">
        <w:rPr>
          <w:rFonts w:asciiTheme="majorHAnsi" w:hAnsiTheme="majorHAnsi"/>
          <w:b/>
          <w:color w:val="4F81BD" w:themeColor="accent1"/>
        </w:rPr>
        <w:t>Déjeuner</w:t>
      </w:r>
    </w:p>
    <w:p w:rsidR="00F76C0F" w:rsidRDefault="00F76C0F" w:rsidP="004C03D4">
      <w:pPr>
        <w:jc w:val="both"/>
        <w:rPr>
          <w:rFonts w:asciiTheme="majorHAnsi" w:hAnsiTheme="majorHAnsi"/>
        </w:rPr>
      </w:pPr>
    </w:p>
    <w:p w:rsidR="00F76C0F" w:rsidRDefault="00F76C0F" w:rsidP="004C03D4">
      <w:pPr>
        <w:jc w:val="both"/>
        <w:rPr>
          <w:rFonts w:asciiTheme="majorHAnsi" w:hAnsiTheme="majorHAnsi"/>
          <w:b/>
          <w:color w:val="4F81BD" w:themeColor="accent1"/>
        </w:rPr>
      </w:pPr>
      <w:r w:rsidRPr="00F76C0F">
        <w:rPr>
          <w:rFonts w:asciiTheme="majorHAnsi" w:hAnsiTheme="majorHAnsi"/>
          <w:b/>
          <w:color w:val="4F81BD" w:themeColor="accent1"/>
        </w:rPr>
        <w:t>Après-midi</w:t>
      </w:r>
    </w:p>
    <w:p w:rsidR="00F76C0F" w:rsidRPr="00F76C0F" w:rsidRDefault="00F76C0F" w:rsidP="004C03D4">
      <w:pPr>
        <w:jc w:val="both"/>
        <w:rPr>
          <w:rFonts w:asciiTheme="majorHAnsi" w:hAnsiTheme="majorHAnsi"/>
          <w:b/>
          <w:color w:val="4F81BD" w:themeColor="accent1"/>
        </w:rPr>
      </w:pPr>
    </w:p>
    <w:p w:rsidR="00B40F3C" w:rsidRPr="00F47B90" w:rsidRDefault="002E154D" w:rsidP="004C03D4">
      <w:pPr>
        <w:jc w:val="both"/>
        <w:rPr>
          <w:rFonts w:asciiTheme="majorHAnsi" w:hAnsiTheme="majorHAnsi"/>
          <w:i/>
        </w:rPr>
      </w:pPr>
      <w:r w:rsidRPr="00DD6C70">
        <w:rPr>
          <w:rFonts w:asciiTheme="majorHAnsi" w:hAnsiTheme="majorHAnsi"/>
        </w:rPr>
        <w:t>14h</w:t>
      </w:r>
      <w:r w:rsidR="00BA7F07" w:rsidRPr="00DD6C70">
        <w:rPr>
          <w:rFonts w:asciiTheme="majorHAnsi" w:hAnsiTheme="majorHAnsi"/>
        </w:rPr>
        <w:t>.</w:t>
      </w:r>
      <w:r w:rsidRPr="00DD6C70">
        <w:rPr>
          <w:rFonts w:asciiTheme="majorHAnsi" w:hAnsiTheme="majorHAnsi"/>
        </w:rPr>
        <w:t xml:space="preserve"> </w:t>
      </w:r>
      <w:r w:rsidR="00B40F3C" w:rsidRPr="00DD6C70">
        <w:rPr>
          <w:rFonts w:asciiTheme="majorHAnsi" w:hAnsiTheme="majorHAnsi"/>
          <w:i/>
        </w:rPr>
        <w:t xml:space="preserve">Le plâtre en architecture : </w:t>
      </w:r>
      <w:r w:rsidR="00B40F3C" w:rsidRPr="00F47B90">
        <w:rPr>
          <w:rFonts w:asciiTheme="majorHAnsi" w:hAnsiTheme="majorHAnsi"/>
          <w:i/>
        </w:rPr>
        <w:t>histoire d’un matériau malmené (1667-1981)</w:t>
      </w:r>
    </w:p>
    <w:p w:rsidR="00B40F3C" w:rsidRPr="004C03D4" w:rsidRDefault="00B40F3C" w:rsidP="004C03D4">
      <w:pPr>
        <w:jc w:val="both"/>
        <w:rPr>
          <w:rFonts w:asciiTheme="majorHAnsi" w:hAnsiTheme="majorHAnsi"/>
        </w:rPr>
      </w:pPr>
      <w:r w:rsidRPr="00F47B90">
        <w:rPr>
          <w:rFonts w:asciiTheme="majorHAnsi" w:hAnsiTheme="majorHAnsi"/>
        </w:rPr>
        <w:t>Tiffanie Le Dantec</w:t>
      </w:r>
      <w:r w:rsidRPr="004C03D4">
        <w:rPr>
          <w:rFonts w:asciiTheme="majorHAnsi" w:hAnsiTheme="majorHAnsi"/>
        </w:rPr>
        <w:t xml:space="preserve">, </w:t>
      </w:r>
      <w:r w:rsidR="00F47B90" w:rsidRPr="004C03D4">
        <w:rPr>
          <w:rFonts w:asciiTheme="majorHAnsi" w:hAnsiTheme="majorHAnsi"/>
        </w:rPr>
        <w:t xml:space="preserve">ENSA </w:t>
      </w:r>
      <w:r w:rsidR="004C03D4" w:rsidRPr="004C03D4">
        <w:rPr>
          <w:rFonts w:asciiTheme="majorHAnsi" w:hAnsiTheme="majorHAnsi"/>
        </w:rPr>
        <w:t xml:space="preserve">de Versailles / </w:t>
      </w:r>
      <w:r w:rsidRPr="004C03D4">
        <w:rPr>
          <w:rFonts w:asciiTheme="majorHAnsi" w:hAnsiTheme="majorHAnsi"/>
        </w:rPr>
        <w:t>Université</w:t>
      </w:r>
      <w:r w:rsidR="004C03D4" w:rsidRPr="004C03D4">
        <w:rPr>
          <w:rFonts w:asciiTheme="majorHAnsi" w:hAnsiTheme="majorHAnsi"/>
        </w:rPr>
        <w:t xml:space="preserve"> de Versailles Saint-Quentin</w:t>
      </w:r>
    </w:p>
    <w:p w:rsidR="00BA7F07" w:rsidRPr="00DD6C70" w:rsidRDefault="00BA7F07" w:rsidP="004C03D4">
      <w:pPr>
        <w:jc w:val="both"/>
        <w:rPr>
          <w:rFonts w:asciiTheme="majorHAnsi" w:hAnsiTheme="majorHAnsi"/>
        </w:rPr>
      </w:pPr>
    </w:p>
    <w:p w:rsidR="00B40F3C" w:rsidRPr="00F47B90" w:rsidRDefault="00BA7F07" w:rsidP="004C03D4">
      <w:pPr>
        <w:jc w:val="both"/>
        <w:rPr>
          <w:rFonts w:asciiTheme="majorHAnsi" w:hAnsiTheme="majorHAnsi"/>
          <w:sz w:val="22"/>
        </w:rPr>
      </w:pPr>
      <w:r w:rsidRPr="009B1AE1">
        <w:rPr>
          <w:rFonts w:asciiTheme="majorHAnsi" w:hAnsiTheme="majorHAnsi"/>
        </w:rPr>
        <w:t>14h30</w:t>
      </w:r>
      <w:r w:rsidRPr="009B1AE1">
        <w:rPr>
          <w:rFonts w:asciiTheme="majorHAnsi" w:hAnsiTheme="majorHAnsi"/>
          <w:sz w:val="22"/>
        </w:rPr>
        <w:t xml:space="preserve">. </w:t>
      </w:r>
      <w:r w:rsidR="00B40F3C" w:rsidRPr="009B1AE1">
        <w:rPr>
          <w:rFonts w:asciiTheme="majorHAnsi" w:hAnsiTheme="majorHAnsi"/>
          <w:i/>
          <w:sz w:val="22"/>
        </w:rPr>
        <w:t>Construction</w:t>
      </w:r>
      <w:r w:rsidR="00B40F3C" w:rsidRPr="00F47B90">
        <w:rPr>
          <w:rFonts w:asciiTheme="majorHAnsi" w:hAnsiTheme="majorHAnsi"/>
          <w:i/>
          <w:sz w:val="22"/>
        </w:rPr>
        <w:t xml:space="preserve"> des charpentes dans les églises belges (1830-1940)</w:t>
      </w:r>
    </w:p>
    <w:p w:rsidR="00B40F3C" w:rsidRPr="004C03D4" w:rsidRDefault="00B40F3C" w:rsidP="004C03D4">
      <w:pPr>
        <w:jc w:val="both"/>
        <w:rPr>
          <w:rFonts w:asciiTheme="majorHAnsi" w:hAnsiTheme="majorHAnsi" w:cs="Times New Roman"/>
          <w:lang w:val="en-US"/>
        </w:rPr>
      </w:pPr>
      <w:r w:rsidRPr="004C03D4">
        <w:rPr>
          <w:rFonts w:asciiTheme="majorHAnsi" w:hAnsiTheme="majorHAnsi"/>
          <w:lang w:val="en-US"/>
        </w:rPr>
        <w:t xml:space="preserve">Romain Wibaut, </w:t>
      </w:r>
      <w:r w:rsidRPr="004C03D4">
        <w:rPr>
          <w:rFonts w:asciiTheme="majorHAnsi" w:hAnsiTheme="majorHAnsi" w:cs="Times New Roman"/>
          <w:lang w:val="en-US"/>
        </w:rPr>
        <w:t>Department of Architectural Engineering, Vrije Universiteit, Bruxelles</w:t>
      </w:r>
      <w:r w:rsidR="00F47B90" w:rsidRPr="004C03D4">
        <w:rPr>
          <w:rFonts w:ascii="Helvetica" w:hAnsi="Helvetica" w:cs="Helvetica"/>
          <w:color w:val="FF1C00"/>
          <w:lang w:val="en-US"/>
        </w:rPr>
        <w:t xml:space="preserve"> </w:t>
      </w:r>
      <w:r w:rsidR="00F47B90" w:rsidRPr="004C03D4">
        <w:rPr>
          <w:rFonts w:ascii="Helvetica" w:hAnsi="Helvetica" w:cs="Helvetica"/>
          <w:lang w:val="en-US"/>
        </w:rPr>
        <w:t xml:space="preserve">et </w:t>
      </w:r>
      <w:r w:rsidR="00F47B90" w:rsidRPr="004C03D4">
        <w:rPr>
          <w:rFonts w:asciiTheme="majorHAnsi" w:hAnsiTheme="majorHAnsi" w:cs="Helvetica"/>
          <w:lang w:val="en-US"/>
        </w:rPr>
        <w:t>Faculty of Engineering Science, Department of Architecture, University of Leuven, Louvain</w:t>
      </w:r>
    </w:p>
    <w:p w:rsidR="00CB15DA" w:rsidRDefault="00CB15DA" w:rsidP="004C03D4">
      <w:pPr>
        <w:jc w:val="both"/>
        <w:rPr>
          <w:rFonts w:asciiTheme="majorHAnsi" w:hAnsiTheme="majorHAnsi" w:cs="Times New Roman"/>
          <w:sz w:val="22"/>
          <w:lang w:val="en-US"/>
        </w:rPr>
      </w:pPr>
    </w:p>
    <w:p w:rsidR="00D26E88" w:rsidRPr="00F47B90" w:rsidRDefault="00D26E88" w:rsidP="00D26E88">
      <w:pPr>
        <w:jc w:val="both"/>
        <w:rPr>
          <w:rFonts w:asciiTheme="majorHAnsi" w:hAnsiTheme="majorHAnsi"/>
          <w:b/>
          <w:color w:val="4F81BD" w:themeColor="accent1"/>
        </w:rPr>
      </w:pPr>
      <w:r w:rsidRPr="00F47B90">
        <w:rPr>
          <w:rFonts w:asciiTheme="majorHAnsi" w:hAnsiTheme="majorHAnsi"/>
          <w:b/>
          <w:color w:val="4F81BD" w:themeColor="accent1"/>
        </w:rPr>
        <w:t>Pause</w:t>
      </w:r>
    </w:p>
    <w:p w:rsidR="00D26E88" w:rsidRPr="004C03D4" w:rsidRDefault="00D26E88" w:rsidP="004C03D4">
      <w:pPr>
        <w:jc w:val="both"/>
        <w:rPr>
          <w:rFonts w:asciiTheme="majorHAnsi" w:hAnsiTheme="majorHAnsi" w:cs="Times New Roman"/>
          <w:sz w:val="22"/>
          <w:lang w:val="en-US"/>
        </w:rPr>
      </w:pPr>
    </w:p>
    <w:p w:rsidR="00B40F3C" w:rsidRPr="00DD6C70" w:rsidRDefault="00B40F3C" w:rsidP="004C03D4">
      <w:pPr>
        <w:jc w:val="both"/>
        <w:rPr>
          <w:rFonts w:asciiTheme="majorHAnsi" w:hAnsiTheme="majorHAnsi"/>
          <w:i/>
        </w:rPr>
      </w:pPr>
      <w:r>
        <w:rPr>
          <w:rFonts w:asciiTheme="majorHAnsi" w:hAnsiTheme="majorHAnsi"/>
        </w:rPr>
        <w:t>15h</w:t>
      </w:r>
      <w:r w:rsidR="004C03D4">
        <w:rPr>
          <w:rFonts w:asciiTheme="majorHAnsi" w:hAnsiTheme="majorHAnsi"/>
        </w:rPr>
        <w:t>15</w:t>
      </w:r>
      <w:r w:rsidRPr="00DD6C70">
        <w:rPr>
          <w:rFonts w:asciiTheme="majorHAnsi" w:hAnsiTheme="majorHAnsi"/>
        </w:rPr>
        <w:t xml:space="preserve">. </w:t>
      </w:r>
      <w:r w:rsidRPr="00DD6C70">
        <w:rPr>
          <w:rFonts w:asciiTheme="majorHAnsi" w:hAnsiTheme="majorHAnsi"/>
          <w:i/>
        </w:rPr>
        <w:t>L’architecture du revêtement céramique à Paris : technique et esthétique au début du XXe siècle</w:t>
      </w:r>
    </w:p>
    <w:p w:rsidR="00B40F3C" w:rsidRPr="00DD6C70" w:rsidRDefault="00B40F3C" w:rsidP="004C03D4">
      <w:pPr>
        <w:pStyle w:val="Default"/>
        <w:jc w:val="both"/>
        <w:rPr>
          <w:rFonts w:asciiTheme="majorHAnsi" w:hAnsiTheme="majorHAnsi" w:cs="Calibri Light"/>
        </w:rPr>
      </w:pPr>
      <w:r w:rsidRPr="00DD6C70">
        <w:rPr>
          <w:rFonts w:asciiTheme="majorHAnsi" w:hAnsiTheme="majorHAnsi"/>
        </w:rPr>
        <w:t>Valentin Gillet, Departement Architektur, ETH Zürich</w:t>
      </w:r>
    </w:p>
    <w:p w:rsidR="001E58A6" w:rsidRPr="00DD6C70" w:rsidRDefault="001E58A6" w:rsidP="004C03D4">
      <w:pPr>
        <w:jc w:val="both"/>
        <w:rPr>
          <w:rFonts w:asciiTheme="majorHAnsi" w:hAnsiTheme="majorHAnsi" w:cs="Times New Roman"/>
        </w:rPr>
      </w:pPr>
    </w:p>
    <w:p w:rsidR="00B40F3C" w:rsidRPr="00DD6C70" w:rsidRDefault="00F76C0F" w:rsidP="004C03D4">
      <w:pPr>
        <w:jc w:val="both"/>
        <w:rPr>
          <w:rFonts w:asciiTheme="majorHAnsi" w:hAnsiTheme="majorHAnsi"/>
        </w:rPr>
      </w:pPr>
      <w:r>
        <w:rPr>
          <w:rFonts w:asciiTheme="majorHAnsi" w:hAnsiTheme="majorHAnsi" w:cs="Times New Roman"/>
        </w:rPr>
        <w:t>15</w:t>
      </w:r>
      <w:r w:rsidR="001E58A6" w:rsidRPr="00DD6C70">
        <w:rPr>
          <w:rFonts w:asciiTheme="majorHAnsi" w:hAnsiTheme="majorHAnsi" w:cs="Times New Roman"/>
        </w:rPr>
        <w:t>h</w:t>
      </w:r>
      <w:r w:rsidR="004C03D4">
        <w:rPr>
          <w:rFonts w:asciiTheme="majorHAnsi" w:hAnsiTheme="majorHAnsi" w:cs="Times New Roman"/>
        </w:rPr>
        <w:t>45</w:t>
      </w:r>
      <w:r w:rsidR="001E58A6" w:rsidRPr="00DD6C70">
        <w:rPr>
          <w:rFonts w:asciiTheme="majorHAnsi" w:hAnsiTheme="majorHAnsi" w:cs="Times New Roman"/>
        </w:rPr>
        <w:t xml:space="preserve">. </w:t>
      </w:r>
      <w:r w:rsidR="00B40F3C" w:rsidRPr="00DD6C70">
        <w:rPr>
          <w:rFonts w:asciiTheme="majorHAnsi" w:hAnsiTheme="majorHAnsi"/>
          <w:i/>
        </w:rPr>
        <w:t>De l’usage des algorithmes génétiques dans la conception architecturale : le cas du Pavillon Seroussi</w:t>
      </w:r>
    </w:p>
    <w:p w:rsidR="00B40F3C" w:rsidRDefault="00B40F3C" w:rsidP="004C03D4">
      <w:pPr>
        <w:jc w:val="both"/>
        <w:rPr>
          <w:rFonts w:asciiTheme="majorHAnsi" w:hAnsiTheme="majorHAnsi"/>
          <w:color w:val="FF0000"/>
        </w:rPr>
      </w:pPr>
      <w:r w:rsidRPr="00DD6C70">
        <w:rPr>
          <w:rFonts w:asciiTheme="majorHAnsi" w:hAnsiTheme="majorHAnsi"/>
        </w:rPr>
        <w:t xml:space="preserve">Nadja Gaudillière, </w:t>
      </w:r>
      <w:r w:rsidR="000662DE" w:rsidRPr="004C03D4">
        <w:rPr>
          <w:rFonts w:asciiTheme="majorHAnsi" w:hAnsiTheme="majorHAnsi"/>
        </w:rPr>
        <w:t>ENSA Paris-Ma</w:t>
      </w:r>
      <w:r w:rsidR="004C03D4" w:rsidRPr="004C03D4">
        <w:rPr>
          <w:rFonts w:asciiTheme="majorHAnsi" w:hAnsiTheme="majorHAnsi"/>
        </w:rPr>
        <w:t>laquais / Université Paris-Est</w:t>
      </w:r>
    </w:p>
    <w:p w:rsidR="00B40F3C" w:rsidRDefault="00B40F3C" w:rsidP="004C03D4">
      <w:pPr>
        <w:jc w:val="both"/>
        <w:rPr>
          <w:rFonts w:asciiTheme="majorHAnsi" w:hAnsiTheme="majorHAnsi"/>
          <w:color w:val="FF0000"/>
        </w:rPr>
      </w:pPr>
    </w:p>
    <w:p w:rsidR="00BA7F07" w:rsidRPr="00B40F3C" w:rsidRDefault="00BA7F07" w:rsidP="004C03D4">
      <w:pPr>
        <w:pStyle w:val="Default"/>
        <w:jc w:val="both"/>
        <w:rPr>
          <w:rFonts w:asciiTheme="majorHAnsi" w:hAnsiTheme="majorHAnsi"/>
          <w:color w:val="auto"/>
        </w:rPr>
      </w:pPr>
    </w:p>
    <w:p w:rsidR="00BA7F07" w:rsidRPr="00DD6C70" w:rsidRDefault="00BA7F07" w:rsidP="004C03D4">
      <w:pPr>
        <w:jc w:val="both"/>
        <w:rPr>
          <w:rFonts w:asciiTheme="majorHAnsi" w:hAnsiTheme="majorHAnsi" w:cs="Times New Roman"/>
        </w:rPr>
      </w:pPr>
    </w:p>
    <w:p w:rsidR="00BA7F07" w:rsidRPr="00DD6C70" w:rsidRDefault="00BA7F07" w:rsidP="004C03D4">
      <w:pPr>
        <w:jc w:val="both"/>
        <w:rPr>
          <w:rFonts w:asciiTheme="majorHAnsi" w:hAnsiTheme="majorHAnsi" w:cs="Times New Roman"/>
        </w:rPr>
      </w:pPr>
    </w:p>
    <w:p w:rsidR="00DD6C70" w:rsidRPr="00F76C0F" w:rsidRDefault="00F76C0F" w:rsidP="004C03D4">
      <w:pPr>
        <w:jc w:val="both"/>
        <w:rPr>
          <w:rFonts w:asciiTheme="majorHAnsi" w:hAnsiTheme="majorHAnsi" w:cs="Times New Roman"/>
          <w:b/>
          <w:color w:val="4F81BD" w:themeColor="accent1"/>
        </w:rPr>
      </w:pPr>
      <w:r w:rsidRPr="00F76C0F">
        <w:rPr>
          <w:rFonts w:asciiTheme="majorHAnsi" w:hAnsiTheme="majorHAnsi" w:cs="Times New Roman"/>
          <w:b/>
          <w:color w:val="4F81BD" w:themeColor="accent1"/>
        </w:rPr>
        <w:t>16h</w:t>
      </w:r>
      <w:r w:rsidR="004C03D4">
        <w:rPr>
          <w:rFonts w:asciiTheme="majorHAnsi" w:hAnsiTheme="majorHAnsi" w:cs="Times New Roman"/>
          <w:b/>
          <w:color w:val="4F81BD" w:themeColor="accent1"/>
        </w:rPr>
        <w:t>15</w:t>
      </w:r>
      <w:r w:rsidR="00BA7F07" w:rsidRPr="00F76C0F">
        <w:rPr>
          <w:rFonts w:asciiTheme="majorHAnsi" w:hAnsiTheme="majorHAnsi" w:cs="Times New Roman"/>
          <w:b/>
          <w:color w:val="4F81BD" w:themeColor="accent1"/>
        </w:rPr>
        <w:t xml:space="preserve"> </w:t>
      </w:r>
      <w:r w:rsidR="001E58A6" w:rsidRPr="00F76C0F">
        <w:rPr>
          <w:rFonts w:asciiTheme="majorHAnsi" w:hAnsiTheme="majorHAnsi" w:cs="Times New Roman"/>
          <w:b/>
          <w:color w:val="4F81BD" w:themeColor="accent1"/>
        </w:rPr>
        <w:t>Débats et conclusion</w:t>
      </w:r>
    </w:p>
    <w:p w:rsidR="00DD6C70" w:rsidRPr="00DD6C70" w:rsidRDefault="00DD6C70" w:rsidP="004C03D4">
      <w:pPr>
        <w:jc w:val="both"/>
        <w:rPr>
          <w:rFonts w:asciiTheme="majorHAnsi" w:hAnsiTheme="majorHAnsi" w:cs="Times New Roman"/>
        </w:rPr>
      </w:pPr>
    </w:p>
    <w:p w:rsidR="00F76C0F" w:rsidRDefault="00F76C0F" w:rsidP="004C03D4">
      <w:pPr>
        <w:jc w:val="both"/>
        <w:rPr>
          <w:rFonts w:asciiTheme="majorHAnsi" w:hAnsiTheme="majorHAnsi" w:cs="Times New Roman"/>
        </w:rPr>
      </w:pPr>
    </w:p>
    <w:p w:rsidR="00F76C0F" w:rsidRDefault="00F76C0F" w:rsidP="004C03D4">
      <w:pPr>
        <w:jc w:val="both"/>
        <w:rPr>
          <w:rFonts w:asciiTheme="majorHAnsi" w:hAnsiTheme="majorHAnsi" w:cs="Times New Roman"/>
        </w:rPr>
      </w:pPr>
    </w:p>
    <w:p w:rsidR="00F76C0F" w:rsidRDefault="00F76C0F">
      <w:pPr>
        <w:rPr>
          <w:rFonts w:asciiTheme="majorHAnsi" w:hAnsiTheme="majorHAnsi" w:cs="Times New Roman"/>
        </w:rPr>
      </w:pPr>
    </w:p>
    <w:p w:rsidR="00F76C0F" w:rsidRDefault="00F76C0F">
      <w:pPr>
        <w:rPr>
          <w:rFonts w:asciiTheme="majorHAnsi" w:hAnsiTheme="majorHAnsi" w:cs="Times New Roman"/>
        </w:rPr>
      </w:pPr>
    </w:p>
    <w:p w:rsidR="00F76C0F" w:rsidRDefault="00F76C0F">
      <w:pPr>
        <w:rPr>
          <w:rFonts w:asciiTheme="majorHAnsi" w:hAnsiTheme="majorHAnsi" w:cs="Times New Roman"/>
        </w:rPr>
      </w:pPr>
    </w:p>
    <w:p w:rsidR="00F76C0F" w:rsidRDefault="00F76C0F">
      <w:pPr>
        <w:rPr>
          <w:rFonts w:asciiTheme="majorHAnsi" w:hAnsiTheme="majorHAnsi" w:cs="Times New Roman"/>
        </w:rPr>
      </w:pPr>
    </w:p>
    <w:p w:rsidR="00F76C0F" w:rsidRDefault="00F76C0F">
      <w:pPr>
        <w:rPr>
          <w:rFonts w:asciiTheme="majorHAnsi" w:hAnsiTheme="majorHAnsi" w:cs="Times New Roman"/>
        </w:rPr>
      </w:pPr>
    </w:p>
    <w:p w:rsidR="00F76C0F" w:rsidRDefault="00F76C0F">
      <w:pPr>
        <w:rPr>
          <w:rFonts w:asciiTheme="majorHAnsi" w:hAnsiTheme="majorHAnsi" w:cs="Times New Roman"/>
        </w:rPr>
      </w:pPr>
    </w:p>
    <w:p w:rsidR="00F76C0F" w:rsidRDefault="00F76C0F">
      <w:pPr>
        <w:rPr>
          <w:rFonts w:asciiTheme="majorHAnsi" w:hAnsiTheme="majorHAnsi" w:cs="Times New Roman"/>
        </w:rPr>
      </w:pPr>
    </w:p>
    <w:p w:rsidR="00F76C0F" w:rsidRDefault="00F76C0F">
      <w:pPr>
        <w:rPr>
          <w:rFonts w:asciiTheme="majorHAnsi" w:hAnsiTheme="majorHAnsi" w:cs="Times New Roman"/>
        </w:rPr>
      </w:pPr>
    </w:p>
    <w:p w:rsidR="00F76C0F" w:rsidRDefault="00F76C0F">
      <w:pPr>
        <w:rPr>
          <w:rFonts w:asciiTheme="majorHAnsi" w:hAnsiTheme="majorHAnsi" w:cs="Times New Roman"/>
        </w:rPr>
      </w:pPr>
    </w:p>
    <w:p w:rsidR="00F76C0F" w:rsidRDefault="00F76C0F">
      <w:pPr>
        <w:rPr>
          <w:rFonts w:asciiTheme="majorHAnsi" w:hAnsiTheme="majorHAnsi" w:cs="Times New Roman"/>
        </w:rPr>
      </w:pPr>
    </w:p>
    <w:p w:rsidR="00F76C0F" w:rsidRDefault="00F76C0F">
      <w:pPr>
        <w:rPr>
          <w:rFonts w:asciiTheme="majorHAnsi" w:hAnsiTheme="majorHAnsi" w:cs="Times New Roman"/>
        </w:rPr>
      </w:pPr>
    </w:p>
    <w:p w:rsidR="00F76C0F" w:rsidRDefault="00F76C0F">
      <w:pPr>
        <w:rPr>
          <w:rFonts w:asciiTheme="majorHAnsi" w:hAnsiTheme="majorHAnsi" w:cs="Times New Roman"/>
        </w:rPr>
      </w:pPr>
    </w:p>
    <w:p w:rsidR="00DD6C70" w:rsidRPr="00DD6C70" w:rsidRDefault="00DD6C70">
      <w:pPr>
        <w:rPr>
          <w:rFonts w:asciiTheme="majorHAnsi" w:hAnsiTheme="majorHAnsi" w:cs="Times New Roman"/>
        </w:rPr>
      </w:pPr>
    </w:p>
    <w:p w:rsidR="00010CE6" w:rsidRPr="00DD6C70" w:rsidRDefault="00DD6C70">
      <w:pPr>
        <w:rPr>
          <w:rFonts w:asciiTheme="majorHAnsi" w:hAnsiTheme="majorHAnsi"/>
        </w:rPr>
      </w:pPr>
      <w:r w:rsidRPr="00DD6C70">
        <w:rPr>
          <w:rFonts w:asciiTheme="majorHAnsi" w:hAnsiTheme="majorHAnsi"/>
          <w:noProof/>
          <w:lang w:eastAsia="fr-FR"/>
        </w:rPr>
        <w:drawing>
          <wp:inline distT="0" distB="0" distL="0" distR="0">
            <wp:extent cx="1115695" cy="690177"/>
            <wp:effectExtent l="25400" t="0" r="1905" b="0"/>
            <wp:docPr id="10" name="Image 5" descr="MAC:Users:utilisateur:Desktop:Documents Nègre:ECOLES ARCHITECTURE:LA VILLETTE:LOGOS:ensaplvEscali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Users:utilisateur:Desktop:Documents Nègre:ECOLES ARCHITECTURE:LA VILLETTE:LOGOS:ensaplvEscalier.tiff"/>
                    <pic:cNvPicPr>
                      <a:picLocks noChangeAspect="1" noChangeArrowheads="1"/>
                    </pic:cNvPicPr>
                  </pic:nvPicPr>
                  <pic:blipFill>
                    <a:blip r:embed="rId6"/>
                    <a:srcRect/>
                    <a:stretch>
                      <a:fillRect/>
                    </a:stretch>
                  </pic:blipFill>
                  <pic:spPr bwMode="auto">
                    <a:xfrm>
                      <a:off x="0" y="0"/>
                      <a:ext cx="1122039" cy="694102"/>
                    </a:xfrm>
                    <a:prstGeom prst="rect">
                      <a:avLst/>
                    </a:prstGeom>
                    <a:noFill/>
                    <a:ln w="9525">
                      <a:noFill/>
                      <a:miter lim="800000"/>
                      <a:headEnd/>
                      <a:tailEnd/>
                    </a:ln>
                  </pic:spPr>
                </pic:pic>
              </a:graphicData>
            </a:graphic>
          </wp:inline>
        </w:drawing>
      </w:r>
      <w:r w:rsidR="00F76C0F">
        <w:rPr>
          <w:rFonts w:asciiTheme="majorHAnsi" w:hAnsiTheme="majorHAnsi"/>
          <w:noProof/>
          <w:lang w:eastAsia="fr-FR"/>
        </w:rPr>
        <w:drawing>
          <wp:inline distT="0" distB="0" distL="0" distR="0">
            <wp:extent cx="2030095" cy="591551"/>
            <wp:effectExtent l="25400" t="0" r="1905" b="0"/>
            <wp:docPr id="17" name="Image 5" descr="MAC:Users:utilisateur:Desktop:Documents Nègre:SEMINAIRES:SEM.DOCT.CHATELET:LOGO_CTAD_CNRS_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Users:utilisateur:Desktop:Documents Nègre:SEMINAIRES:SEM.DOCT.CHATELET:LOGO_CTAD_CNRS_R.jpg"/>
                    <pic:cNvPicPr>
                      <a:picLocks noChangeAspect="1" noChangeArrowheads="1"/>
                    </pic:cNvPicPr>
                  </pic:nvPicPr>
                  <pic:blipFill>
                    <a:blip r:embed="rId7"/>
                    <a:srcRect/>
                    <a:stretch>
                      <a:fillRect/>
                    </a:stretch>
                  </pic:blipFill>
                  <pic:spPr bwMode="auto">
                    <a:xfrm>
                      <a:off x="0" y="0"/>
                      <a:ext cx="2037897" cy="593824"/>
                    </a:xfrm>
                    <a:prstGeom prst="rect">
                      <a:avLst/>
                    </a:prstGeom>
                    <a:noFill/>
                    <a:ln w="9525">
                      <a:noFill/>
                      <a:miter lim="800000"/>
                      <a:headEnd/>
                      <a:tailEnd/>
                    </a:ln>
                  </pic:spPr>
                </pic:pic>
              </a:graphicData>
            </a:graphic>
          </wp:inline>
        </w:drawing>
      </w:r>
      <w:r w:rsidRPr="00DD6C70">
        <w:rPr>
          <w:rFonts w:asciiTheme="majorHAnsi" w:hAnsiTheme="majorHAnsi"/>
          <w:noProof/>
          <w:lang w:eastAsia="fr-FR"/>
        </w:rPr>
        <w:drawing>
          <wp:inline distT="0" distB="0" distL="0" distR="0">
            <wp:extent cx="709295" cy="591698"/>
            <wp:effectExtent l="25400" t="0" r="1905"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e-cmj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9441" cy="591820"/>
                    </a:xfrm>
                    <a:prstGeom prst="rect">
                      <a:avLst/>
                    </a:prstGeom>
                  </pic:spPr>
                </pic:pic>
              </a:graphicData>
            </a:graphic>
          </wp:inline>
        </w:drawing>
      </w:r>
      <w:r w:rsidRPr="00DD6C70">
        <w:rPr>
          <w:rFonts w:asciiTheme="majorHAnsi" w:hAnsiTheme="majorHAnsi"/>
        </w:rPr>
        <w:t xml:space="preserve"> </w:t>
      </w:r>
      <w:r w:rsidRPr="00DD6C70">
        <w:rPr>
          <w:rFonts w:asciiTheme="majorHAnsi" w:hAnsiTheme="majorHAnsi"/>
          <w:noProof/>
          <w:lang w:eastAsia="fr-FR"/>
        </w:rPr>
        <w:drawing>
          <wp:inline distT="0" distB="0" distL="0" distR="0">
            <wp:extent cx="735835" cy="618069"/>
            <wp:effectExtent l="25400" t="0" r="765" b="0"/>
            <wp:docPr id="6" name="Image 4" descr="MAC:Users:utilisateur:Desktop:Documents Nègre:SEMINAIRES:SEM.DOCT.CHATELET:Logo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Users:utilisateur:Desktop:Documents Nègre:SEMINAIRES:SEM.DOCT.CHATELET:Logo_00.jpg"/>
                    <pic:cNvPicPr>
                      <a:picLocks noChangeAspect="1" noChangeArrowheads="1"/>
                    </pic:cNvPicPr>
                  </pic:nvPicPr>
                  <pic:blipFill>
                    <a:blip r:embed="rId9"/>
                    <a:srcRect/>
                    <a:stretch>
                      <a:fillRect/>
                    </a:stretch>
                  </pic:blipFill>
                  <pic:spPr bwMode="auto">
                    <a:xfrm>
                      <a:off x="0" y="0"/>
                      <a:ext cx="737309" cy="619307"/>
                    </a:xfrm>
                    <a:prstGeom prst="rect">
                      <a:avLst/>
                    </a:prstGeom>
                    <a:noFill/>
                    <a:ln w="9525">
                      <a:noFill/>
                      <a:miter lim="800000"/>
                      <a:headEnd/>
                      <a:tailEnd/>
                    </a:ln>
                  </pic:spPr>
                </pic:pic>
              </a:graphicData>
            </a:graphic>
          </wp:inline>
        </w:drawing>
      </w:r>
      <w:r w:rsidRPr="00DD6C70">
        <w:rPr>
          <w:rFonts w:asciiTheme="majorHAnsi" w:hAnsiTheme="majorHAnsi"/>
        </w:rPr>
        <w:t xml:space="preserve"> </w:t>
      </w:r>
      <w:r w:rsidRPr="00DD6C70">
        <w:rPr>
          <w:rFonts w:asciiTheme="majorHAnsi" w:hAnsiTheme="majorHAnsi"/>
          <w:noProof/>
          <w:lang w:eastAsia="fr-FR"/>
        </w:rPr>
        <w:drawing>
          <wp:inline distT="0" distB="0" distL="0" distR="0">
            <wp:extent cx="717550" cy="601327"/>
            <wp:effectExtent l="25400" t="0" r="0" b="0"/>
            <wp:docPr id="11" name="Image 3" descr="MAC:Users:utilisateur:Desktop:Documents Nègre:SEMINAIRES:SEM.DOCT.CHATELET:chastel-quad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Users:utilisateur:Desktop:Documents Nègre:SEMINAIRES:SEM.DOCT.CHATELET:chastel-quadri.jpg"/>
                    <pic:cNvPicPr>
                      <a:picLocks noChangeAspect="1" noChangeArrowheads="1"/>
                    </pic:cNvPicPr>
                  </pic:nvPicPr>
                  <pic:blipFill>
                    <a:blip r:embed="rId10"/>
                    <a:srcRect/>
                    <a:stretch>
                      <a:fillRect/>
                    </a:stretch>
                  </pic:blipFill>
                  <pic:spPr bwMode="auto">
                    <a:xfrm>
                      <a:off x="0" y="0"/>
                      <a:ext cx="717550" cy="601327"/>
                    </a:xfrm>
                    <a:prstGeom prst="rect">
                      <a:avLst/>
                    </a:prstGeom>
                    <a:noFill/>
                    <a:ln w="9525">
                      <a:noFill/>
                      <a:miter lim="800000"/>
                      <a:headEnd/>
                      <a:tailEnd/>
                    </a:ln>
                  </pic:spPr>
                </pic:pic>
              </a:graphicData>
            </a:graphic>
          </wp:inline>
        </w:drawing>
      </w:r>
    </w:p>
    <w:sectPr w:rsidR="00010CE6" w:rsidRPr="00DD6C70" w:rsidSect="00010CE6">
      <w:pgSz w:w="11900" w:h="16840"/>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Calibri Light">
    <w:altName w:val="Calibri"/>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oNotTrackMoves/>
  <w:defaultTabStop w:val="708"/>
  <w:hyphenationZone w:val="425"/>
  <w:drawingGridHorizontalSpacing w:val="360"/>
  <w:drawingGridVerticalSpacing w:val="360"/>
  <w:displayHorizontalDrawingGridEvery w:val="0"/>
  <w:displayVerticalDrawingGridEvery w:val="0"/>
  <w:characterSpacingControl w:val="doNotCompress"/>
  <w:compat>
    <w:doNotAutofitConstrainedTables/>
    <w:splitPgBreakAndParaMark/>
    <w:doNotVertAlignCellWithSp/>
    <w:doNotBreakConstrainedForcedTable/>
    <w:useAnsiKerningPairs/>
    <w:cachedColBalance/>
    <w:compatSetting w:name="compatibilityMode" w:uri="http://schemas.microsoft.com/office/word" w:val="12"/>
  </w:compat>
  <w:rsids>
    <w:rsidRoot w:val="00010CE6"/>
    <w:rsid w:val="00010CE6"/>
    <w:rsid w:val="0003576A"/>
    <w:rsid w:val="000662DE"/>
    <w:rsid w:val="001E58A6"/>
    <w:rsid w:val="0020580A"/>
    <w:rsid w:val="002E154D"/>
    <w:rsid w:val="00443873"/>
    <w:rsid w:val="004C03D4"/>
    <w:rsid w:val="00570474"/>
    <w:rsid w:val="0060303D"/>
    <w:rsid w:val="00634AF0"/>
    <w:rsid w:val="0068798E"/>
    <w:rsid w:val="0069119A"/>
    <w:rsid w:val="007B45A4"/>
    <w:rsid w:val="009B1AE1"/>
    <w:rsid w:val="009D12FD"/>
    <w:rsid w:val="00B40F3C"/>
    <w:rsid w:val="00B61A58"/>
    <w:rsid w:val="00BA7F07"/>
    <w:rsid w:val="00C706DC"/>
    <w:rsid w:val="00CB15DA"/>
    <w:rsid w:val="00CB7391"/>
    <w:rsid w:val="00D26E88"/>
    <w:rsid w:val="00D81464"/>
    <w:rsid w:val="00DD6C70"/>
    <w:rsid w:val="00EC217A"/>
    <w:rsid w:val="00ED0DE3"/>
    <w:rsid w:val="00F47B90"/>
    <w:rsid w:val="00F76C0F"/>
  </w:rsids>
  <m:mathPr>
    <m:mathFont m:val="Cambria Math"/>
    <m:brkBin m:val="before"/>
    <m:brkBinSub m:val="--"/>
    <m:smallFrac/>
    <m:dispDef/>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fr-FR" w:eastAsia="en-US" w:bidi="ar-SA"/>
      </w:rPr>
    </w:rPrDefault>
    <w:pPrDefault/>
  </w:docDefaults>
  <w:latentStyles w:defLockedState="0" w:defUIPriority="0" w:defSemiHidden="0" w:defUnhideWhenUsed="0" w:defQFormat="0" w:count="267">
    <w:lsdException w:name="Normal"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26E88"/>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010CE6"/>
    <w:pPr>
      <w:widowControl w:val="0"/>
      <w:autoSpaceDE w:val="0"/>
      <w:autoSpaceDN w:val="0"/>
      <w:adjustRightInd w:val="0"/>
    </w:pPr>
    <w:rPr>
      <w:rFonts w:ascii="Times New Roman" w:hAnsi="Times New Roman" w:cs="Times New Roman"/>
      <w:color w:val="000000"/>
    </w:rPr>
  </w:style>
  <w:style w:type="paragraph" w:styleId="Textedebulles">
    <w:name w:val="Balloon Text"/>
    <w:basedOn w:val="Normal"/>
    <w:link w:val="TextedebullesCar"/>
    <w:rsid w:val="004C03D4"/>
    <w:rPr>
      <w:rFonts w:ascii="Tahoma" w:hAnsi="Tahoma" w:cs="Tahoma"/>
      <w:sz w:val="16"/>
      <w:szCs w:val="16"/>
    </w:rPr>
  </w:style>
  <w:style w:type="character" w:customStyle="1" w:styleId="TextedebullesCar">
    <w:name w:val="Texte de bulles Car"/>
    <w:basedOn w:val="Policepardfaut"/>
    <w:link w:val="Textedebulles"/>
    <w:rsid w:val="004C03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348</Words>
  <Characters>1918</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negre</dc:creator>
  <cp:lastModifiedBy>Administrateur</cp:lastModifiedBy>
  <cp:revision>2</cp:revision>
  <dcterms:created xsi:type="dcterms:W3CDTF">2017-05-31T07:31:00Z</dcterms:created>
  <dcterms:modified xsi:type="dcterms:W3CDTF">2017-05-31T07:31:00Z</dcterms:modified>
</cp:coreProperties>
</file>